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400" w:after="200"/>
        <w:ind w:left="200" w:right="200" w:hanging="0"/>
        <w:jc w:val="left"/>
        <w:rPr/>
      </w:pPr>
      <w:hyperlink w:anchor="TOC">
        <w:bookmarkStart w:id="0" w:name="rway-20260527x424b2.htm"/>
        <w:bookmarkStart w:id="1" w:name="ksrway20260527x424b2"/>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200" w:right="200" w:hanging="0"/>
        <w:jc w:val="right"/>
        <w:rPr>
          <w:rFonts w:ascii="Aptos" w:hAnsi="Aptos"/>
          <w:sz w:val="24"/>
        </w:rPr>
      </w:pPr>
      <w:bookmarkStart w:id="2" w:name="_9ae5b2fe_00f6_4874_9649_125cb07998d2"/>
      <w:bookmarkEnd w:id="2"/>
      <w:r>
        <w:rPr>
          <w:rFonts w:ascii="Times New Roman;Times;serif" w:hAnsi="Times New Roman;Times;serif"/>
          <w:b/>
          <w:color w:val="231F20"/>
          <w:sz w:val="14"/>
        </w:rPr>
        <w:t xml:space="preserve">Filed pursuant to Rule </w:t>
      </w:r>
      <w:r>
        <w:rPr>
          <w:rFonts w:ascii="Times New Roman;Times;serif" w:hAnsi="Times New Roman;Times;serif"/>
          <w:b/>
          <w:i w:val="false"/>
          <w:caps w:val="false"/>
          <w:smallCaps w:val="false"/>
          <w:color w:val="231F20"/>
          <w:sz w:val="14"/>
        </w:rPr>
        <w:t>424(b)(2)</w:t>
      </w:r>
    </w:p>
    <w:p>
      <w:pPr>
        <w:pStyle w:val="TextBody"/>
        <w:bidi w:val="0"/>
        <w:spacing w:lineRule="auto" w:line="285" w:before="0" w:after="140"/>
        <w:ind w:left="200" w:right="200" w:hanging="0"/>
        <w:jc w:val="right"/>
        <w:rPr>
          <w:rFonts w:ascii="Times New Roman;Times;serif" w:hAnsi="Times New Roman;Times;serif"/>
          <w:b/>
          <w:color w:val="231F20"/>
          <w:sz w:val="14"/>
        </w:rPr>
      </w:pPr>
      <w:r>
        <w:rPr>
          <w:rFonts w:ascii="Times New Roman;Times;serif" w:hAnsi="Times New Roman;Times;serif"/>
          <w:b/>
          <w:color w:val="231F20"/>
          <w:sz w:val="14"/>
        </w:rPr>
        <w:t>File No. 333-284781</w:t>
      </w:r>
    </w:p>
    <w:p>
      <w:pPr>
        <w:pStyle w:val="TextBody"/>
        <w:bidi w:val="0"/>
        <w:spacing w:lineRule="auto" w:line="285" w:before="0" w:after="100"/>
        <w:ind w:left="200" w:right="200" w:hanging="0"/>
        <w:jc w:val="left"/>
        <w:rPr>
          <w:rFonts w:ascii="Aptos" w:hAnsi="Aptos"/>
          <w:sz w:val="14"/>
        </w:rPr>
      </w:pPr>
      <w:r>
        <w:rPr>
          <w:rFonts w:ascii="Times New Roman;Times;serif" w:hAnsi="Times New Roman;Times;serif"/>
          <w:b/>
          <w:color w:val="231F20"/>
          <w:sz w:val="14"/>
        </w:rPr>
        <w:t xml:space="preserve">EXPLANATORY NOTE: </w:t>
      </w:r>
      <w:r>
        <w:rPr>
          <w:rFonts w:ascii="Times New Roman;Times;serif" w:hAnsi="Times New Roman;Times;serif"/>
          <w:color w:val="231F20"/>
          <w:sz w:val="14"/>
        </w:rPr>
        <w:t>THE SOLE PURPOSE OF THIS FILING IS TO ADD INLINE XBRL TAGGING TO THE REGISTRANT’S PROSPECTUS SUPPLEMENT DATED MAY 27, 2026, FILED ON MAY 28, 2026 WITH THE SECURITIES AND EXCHANGE COMMISSION PURSUANT TO RULE 424(B)(2) UNDER THE SECURITIES ACT OF 1933 (THE “PROSPECTUS SUPPLEMENT”). THIS FILING DOES NOT MAKE ANY CHANGES TO THE PROSPECTUS SUPPLEMENT. THIS FILING DOES NOT MODIFY OR UPDATE IN ANY WAY DISCLOSURES MADE IN THE ORIGINAL FILING OF PROSPECTUS SUPPLEMENT.</w:t>
      </w:r>
    </w:p>
    <w:p>
      <w:pPr>
        <w:pStyle w:val="TextBody"/>
        <w:bidi w:val="0"/>
        <w:spacing w:lineRule="auto" w:line="285" w:before="0" w:after="0"/>
        <w:ind w:left="200" w:right="200" w:hanging="0"/>
        <w:jc w:val="left"/>
        <w:rPr>
          <w:rFonts w:ascii="Times New Roman;Times;serif" w:hAnsi="Times New Roman;Times;serif"/>
          <w:b/>
          <w:color w:val="231F20"/>
          <w:sz w:val="14"/>
        </w:rPr>
      </w:pPr>
      <w:r>
        <w:rPr>
          <w:rFonts w:ascii="Times New Roman;Times;serif" w:hAnsi="Times New Roman;Times;serif"/>
          <w:b/>
          <w:color w:val="231F20"/>
          <w:sz w:val="14"/>
        </w:rPr>
        <w:t>PROSPECTUS SUPPLEMENT</w:t>
      </w:r>
    </w:p>
    <w:p>
      <w:pPr>
        <w:pStyle w:val="TextBody"/>
        <w:bidi w:val="0"/>
        <w:spacing w:lineRule="auto" w:line="285" w:before="0" w:after="240"/>
        <w:ind w:left="200" w:right="200" w:hanging="0"/>
        <w:jc w:val="left"/>
        <w:rPr>
          <w:rFonts w:ascii="Times New Roman;Times;serif" w:hAnsi="Times New Roman;Times;serif"/>
          <w:b/>
          <w:color w:val="231F20"/>
          <w:sz w:val="14"/>
        </w:rPr>
      </w:pPr>
      <w:r>
        <w:rPr>
          <w:rFonts w:ascii="Times New Roman;Times;serif" w:hAnsi="Times New Roman;Times;serif"/>
          <w:b/>
          <w:color w:val="231F20"/>
          <w:sz w:val="14"/>
        </w:rPr>
        <w:t>(to Prospectus dated March 19, 2025)</w:t>
      </w:r>
    </w:p>
    <w:p>
      <w:pPr>
        <w:pStyle w:val="TextBody"/>
        <w:bidi w:val="0"/>
        <w:spacing w:lineRule="auto" w:line="285" w:before="0" w:after="100"/>
        <w:ind w:left="200" w:right="200" w:hanging="0"/>
        <w:jc w:val="center"/>
        <w:rPr>
          <w:rFonts w:ascii="Times New Roman;Times;serif" w:hAnsi="Times New Roman;Times;serif"/>
          <w:b/>
          <w:color w:val="231F20"/>
          <w:sz w:val="14"/>
        </w:rPr>
      </w:pPr>
      <w:r>
        <w:rPr>
          <w:rFonts w:ascii="Times New Roman;Times;serif" w:hAnsi="Times New Roman;Times;serif"/>
          <w:b/>
          <w:color w:val="231F20"/>
          <w:sz w:val="14"/>
        </w:rPr>
        <w:t>$50,000,000</w:t>
      </w:r>
    </w:p>
    <w:p>
      <w:pPr>
        <w:pStyle w:val="TextBody"/>
        <w:bidi w:val="0"/>
        <w:spacing w:lineRule="auto" w:line="285" w:before="0" w:after="100"/>
        <w:ind w:left="200" w:right="200" w:hanging="0"/>
        <w:jc w:val="center"/>
        <w:rPr>
          <w:rFonts w:ascii="Times New Roman;Times;serif" w:hAnsi="Times New Roman;Times;serif"/>
          <w:b/>
          <w:color w:val="231F20"/>
          <w:sz w:val="22"/>
        </w:rPr>
      </w:pPr>
      <w:r>
        <w:rPr>
          <w:rFonts w:ascii="Times New Roman;Times;serif" w:hAnsi="Times New Roman;Times;serif"/>
          <w:b/>
          <w:color w:val="231F20"/>
          <w:sz w:val="22"/>
        </w:rPr>
        <w:t>Runway Growth Finance Corp.</w:t>
      </w:r>
    </w:p>
    <w:p>
      <w:pPr>
        <w:pStyle w:val="TextBody"/>
        <w:bidi w:val="0"/>
        <w:spacing w:lineRule="auto" w:line="285" w:before="0" w:after="100"/>
        <w:ind w:left="200" w:right="200" w:hanging="0"/>
        <w:jc w:val="center"/>
        <w:rPr>
          <w:rFonts w:ascii="Times New Roman;Times;serif" w:hAnsi="Times New Roman;Times;serif"/>
          <w:b/>
          <w:color w:val="231F20"/>
          <w:sz w:val="14"/>
        </w:rPr>
      </w:pPr>
      <w:r>
        <w:rPr>
          <w:rFonts w:ascii="Times New Roman;Times;serif" w:hAnsi="Times New Roman;Times;serif"/>
          <w:b/>
          <w:color w:val="231F20"/>
          <w:sz w:val="14"/>
        </w:rPr>
        <w:t>7.00% Notes due 2029</w:t>
      </w:r>
    </w:p>
    <w:p>
      <w:pPr>
        <w:pStyle w:val="TextBody"/>
        <w:bidi w:val="0"/>
        <w:spacing w:lineRule="auto" w:line="285" w:before="0" w:after="8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We are a specialty finance company focused on providing senior secured loans to high growth-potential companies in technology, healthcare, business services, financial services, select consumer services and products and other high-growth industries. We invest in senior secured first lien loans and other senior debt obligations and may on occasion invest in senior secured second lien loans. We have and expect to continue to acquire warrants and other equity securities from portfolio companies in connection with our investments in loans to these companies. Our investment objective is to maximize our total return to our stockholders primarily through current income on our loan portfolio, and secondarily through capital gains on our warrants and other equity positions.</w:t>
      </w:r>
    </w:p>
    <w:p>
      <w:pPr>
        <w:pStyle w:val="TextBody"/>
        <w:bidi w:val="0"/>
        <w:spacing w:lineRule="auto" w:line="285" w:before="0" w:after="8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We are a closed-end management investment company that has elected to be regulated as a business development company (“BDC”) under the Investment Company Act of 1940, as amended (the “1940 Act”). We have elected to be treated, and intend to qualify annually, as a regulated investment company (“RIC”) under the Internal Revenue Code of 1986, as amended (the “Code”) for U.S. federal income tax purposes. As a BDC and a RIC, we are required to comply with certain regulatory requirements.</w:t>
      </w:r>
    </w:p>
    <w:p>
      <w:pPr>
        <w:pStyle w:val="TextBody"/>
        <w:bidi w:val="0"/>
        <w:spacing w:lineRule="auto" w:line="285" w:before="0" w:after="80"/>
        <w:ind w:left="200" w:right="200" w:firstLine="360"/>
        <w:jc w:val="left"/>
        <w:rPr>
          <w:rFonts w:ascii="Aptos" w:hAnsi="Aptos"/>
          <w:sz w:val="24"/>
        </w:rPr>
      </w:pPr>
      <w:r>
        <w:rPr>
          <w:rFonts w:ascii="Times New Roman;Times;serif" w:hAnsi="Times New Roman;Times;serif"/>
          <w:color w:val="231F20"/>
          <w:sz w:val="14"/>
        </w:rPr>
        <w:t>We are offering $50,000,000 in aggregate principal amount of 7.00% notes due 2029</w:t>
      </w:r>
      <w:r>
        <w:rPr>
          <w:rFonts w:ascii="Aptos" w:hAnsi="Aptos"/>
          <w:color w:val="231F20"/>
          <w:sz w:val="24"/>
        </w:rPr>
        <w:t xml:space="preserve"> </w:t>
      </w:r>
      <w:r>
        <w:rPr>
          <w:rFonts w:ascii="Times New Roman;Times;serif" w:hAnsi="Times New Roman;Times;serif"/>
          <w:color w:val="231F20"/>
          <w:sz w:val="14"/>
        </w:rPr>
        <w:t>(the “Notes”). The Notes will mature on December 1, 2029. We will pay interest on the Notes semi-annually on June 1 and December 1 of each year, beginning on December 1, 2026. We may redeem the Notes in whole or in part at any time or from time to time, at the redemption price set forth under the section titled “Description of the Notes — Optional Redemption”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w:t>
      </w:r>
    </w:p>
    <w:p>
      <w:pPr>
        <w:pStyle w:val="TextBody"/>
        <w:bidi w:val="0"/>
        <w:spacing w:lineRule="auto" w:line="285" w:before="0" w:after="8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The Notes will be our direct unsecured obligations and rank equal in right of payment with all outstanding and future unsecured, unsubordinated indebtedness issued by us.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Runway Growth Finance Corp. and not of any of our subsidiaries.</w:t>
      </w:r>
    </w:p>
    <w:p>
      <w:pPr>
        <w:pStyle w:val="TextBody"/>
        <w:bidi w:val="0"/>
        <w:spacing w:lineRule="auto" w:line="285" w:before="0" w:after="8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We do not intend to list the Notes on any securities exchange or automated dealer quotation system.</w:t>
      </w:r>
    </w:p>
    <w:p>
      <w:pPr>
        <w:pStyle w:val="TextBody"/>
        <w:bidi w:val="0"/>
        <w:spacing w:lineRule="auto" w:line="285" w:before="0" w:after="8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We are an “emerging growth company,” as defined in Section 2(a) of the Securities Act of 1933, as amended (the “Securities Act”). As a result, we are subject to reduced public company reporting requirements and intend to take advantage of the extended transition period provided in Section 7(a)(2)(B) of the Securities Act.</w:t>
      </w:r>
    </w:p>
    <w:p>
      <w:pPr>
        <w:pStyle w:val="TextBody"/>
        <w:bidi w:val="0"/>
        <w:spacing w:lineRule="auto" w:line="285" w:before="0" w:after="80"/>
        <w:ind w:left="200" w:right="200" w:firstLine="360"/>
        <w:jc w:val="left"/>
        <w:rPr>
          <w:rFonts w:ascii="Aptos" w:hAnsi="Aptos"/>
          <w:sz w:val="14"/>
        </w:rPr>
      </w:pPr>
      <w:r>
        <w:rPr>
          <w:rFonts w:ascii="Times New Roman;Times;serif" w:hAnsi="Times New Roman;Times;serif"/>
          <w:b/>
          <w:color w:val="231F20"/>
          <w:sz w:val="14"/>
        </w:rPr>
        <w:t>Investing in our securities is highly speculative and involves a high degree of risk, and you could lose your entire investment if any of the risks occur. Before buying any Notes, you should read the material risks described in the “Supplementary Risk Factors” section beginning on page S-13</w:t>
      </w:r>
      <w:r>
        <w:rPr>
          <w:rFonts w:ascii="Aptos" w:hAnsi="Aptos"/>
          <w:color w:val="231F20"/>
          <w:sz w:val="14"/>
        </w:rPr>
        <w:t xml:space="preserve"> </w:t>
      </w:r>
      <w:r>
        <w:rPr>
          <w:rFonts w:ascii="Times New Roman;Times;serif" w:hAnsi="Times New Roman;Times;serif"/>
          <w:b/>
          <w:color w:val="231F20"/>
          <w:sz w:val="14"/>
        </w:rPr>
        <w:t>of this prospectus supplement and “Risk Factors” beginning on page 18</w:t>
      </w:r>
      <w:r>
        <w:rPr>
          <w:rFonts w:ascii="Aptos" w:hAnsi="Aptos"/>
          <w:color w:val="231F20"/>
          <w:sz w:val="14"/>
        </w:rPr>
        <w:t xml:space="preserve"> </w:t>
      </w:r>
      <w:r>
        <w:rPr>
          <w:rFonts w:ascii="Times New Roman;Times;serif" w:hAnsi="Times New Roman;Times;serif"/>
          <w:b/>
          <w:color w:val="231F20"/>
          <w:sz w:val="14"/>
        </w:rPr>
        <w:t>of the accompanying prospectus and in our most recent Annual Report on Form 10-K, our most recent Quarterly Report on Form 10-Q as well as any of our subsequent SEC filings incorporated by reference herein. The individual securities in which we invest will not be rated by any rating agency. If they were, they would be rated as below investment grade or “junk.” Indebtedness of below investment grade quality has predominantly speculative characteristics with respect to the issuer’s capacity to pay interest and repay principal.</w:t>
      </w:r>
    </w:p>
    <w:p>
      <w:pPr>
        <w:pStyle w:val="TextBody"/>
        <w:bidi w:val="0"/>
        <w:spacing w:lineRule="auto" w:line="285" w:before="0" w:after="80"/>
        <w:ind w:left="200" w:right="200" w:firstLine="360"/>
        <w:jc w:val="left"/>
        <w:rPr>
          <w:rFonts w:ascii="Aptos" w:hAnsi="Aptos"/>
          <w:sz w:val="14"/>
        </w:rPr>
      </w:pPr>
      <w:r>
        <w:rPr>
          <w:rFonts w:ascii="Times New Roman;Times;serif" w:hAnsi="Times New Roman;Times;serif"/>
          <w:color w:val="231F20"/>
          <w:sz w:val="14"/>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the Notes, including information about risks. Please read these documents before you invest and retain them for future reference. Additional information about us, including our annual, quarterly and current reports and proxy statements, has been filed with the Securities and Exchange Commission (the “SEC”), and can be accessed free of charge at its website at </w:t>
      </w:r>
      <w:r>
        <w:rPr>
          <w:rFonts w:ascii="Times New Roman;Times;serif" w:hAnsi="Times New Roman;Times;serif"/>
          <w:i/>
          <w:color w:val="231F20"/>
          <w:sz w:val="14"/>
        </w:rPr>
        <w:t>www.sec.gov</w:t>
      </w:r>
      <w:r>
        <w:rPr>
          <w:rFonts w:ascii="Times New Roman;Times;serif" w:hAnsi="Times New Roman;Times;serif"/>
          <w:color w:val="231F20"/>
          <w:sz w:val="14"/>
        </w:rPr>
        <w:t xml:space="preserve">. We maintain a website at </w:t>
      </w:r>
      <w:r>
        <w:rPr>
          <w:rFonts w:ascii="Times New Roman;Times;serif" w:hAnsi="Times New Roman;Times;serif"/>
          <w:i/>
          <w:color w:val="231F20"/>
          <w:sz w:val="14"/>
        </w:rPr>
        <w:t xml:space="preserve">https://investors.runwaygrowth.com </w:t>
      </w:r>
      <w:r>
        <w:rPr>
          <w:rFonts w:ascii="Times New Roman;Times;serif" w:hAnsi="Times New Roman;Times;serif"/>
          <w:color w:val="231F20"/>
          <w:sz w:val="14"/>
        </w:rPr>
        <w:t xml:space="preserve">and make all of the foregoing information available, free of charge, on or through our website. This information is also available free of charge by contacting us in writing at 205 N. Michigan Ave., Suite 4200, Chicago, IL 60601, calling us at (312) 698-6902 or visiting our corporate website located at </w:t>
      </w:r>
      <w:r>
        <w:rPr>
          <w:rFonts w:ascii="Times New Roman;Times;serif" w:hAnsi="Times New Roman;Times;serif"/>
          <w:i/>
          <w:color w:val="231F20"/>
          <w:sz w:val="14"/>
        </w:rPr>
        <w:t>https://investors.runwaygrowth.com</w:t>
      </w:r>
      <w:r>
        <w:rPr>
          <w:rFonts w:ascii="Times New Roman;Times;serif" w:hAnsi="Times New Roman;Times;serif"/>
          <w:color w:val="231F20"/>
          <w:sz w:val="14"/>
        </w:rPr>
        <w:t xml:space="preserve">. The SEC also maintains a website at </w:t>
      </w:r>
      <w:r>
        <w:rPr>
          <w:rFonts w:ascii="Times New Roman;Times;serif" w:hAnsi="Times New Roman;Times;serif"/>
          <w:i/>
          <w:color w:val="231F20"/>
          <w:sz w:val="14"/>
        </w:rPr>
        <w:t xml:space="preserve">http://www.sec.gov </w:t>
      </w:r>
      <w:r>
        <w:rPr>
          <w:rFonts w:ascii="Times New Roman;Times;serif" w:hAnsi="Times New Roman;Times;serif"/>
          <w:color w:val="231F20"/>
          <w:sz w:val="14"/>
        </w:rPr>
        <w:t>that contains such information.</w:t>
      </w:r>
    </w:p>
    <w:p>
      <w:pPr>
        <w:pStyle w:val="TextBody"/>
        <w:bidi w:val="0"/>
        <w:spacing w:lineRule="auto" w:line="285" w:before="0" w:after="8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pStyle w:val="TextBody"/>
        <w:bidi w:val="0"/>
        <w:spacing w:lineRule="auto" w:line="285" w:before="0" w:after="100"/>
        <w:ind w:left="200" w:right="200" w:firstLine="360"/>
        <w:jc w:val="left"/>
        <w:rPr>
          <w:rFonts w:ascii="Times New Roman;Times;serif" w:hAnsi="Times New Roman;Times;serif"/>
          <w:b/>
          <w:color w:val="231F20"/>
          <w:sz w:val="14"/>
        </w:rPr>
      </w:pPr>
      <w:r>
        <w:rPr>
          <w:rFonts w:ascii="Times New Roman;Times;serif" w:hAnsi="Times New Roman;Times;serif"/>
          <w:b/>
          <w:color w:val="231F20"/>
          <w:sz w:val="14"/>
        </w:rPr>
        <w:t>Neither the SEC nor any state securities commission has approved or disapproved of these securities or passed upon the adequacy or accuracy of this prospectus supplement or the accompanying prospectus. Any representation to the contrary is a criminal offense.</w:t>
      </w:r>
    </w:p>
    <w:tbl>
      <w:tblPr>
        <w:tblW w:w="4371" w:type="dxa"/>
        <w:jc w:val="left"/>
        <w:tblInd w:w="200" w:type="dxa"/>
        <w:tblLayout w:type="fixed"/>
        <w:tblCellMar>
          <w:top w:w="0" w:type="dxa"/>
          <w:left w:w="0" w:type="dxa"/>
          <w:bottom w:w="0" w:type="dxa"/>
          <w:right w:w="0" w:type="dxa"/>
        </w:tblCellMar>
      </w:tblPr>
      <w:tblGrid>
        <w:gridCol w:w="2116"/>
        <w:gridCol w:w="346"/>
        <w:gridCol w:w="511"/>
        <w:gridCol w:w="346"/>
        <w:gridCol w:w="181"/>
        <w:gridCol w:w="871"/>
      </w:tblGrid>
      <w:tr>
        <w:trPr/>
        <w:tc>
          <w:tcPr>
            <w:tcW w:w="21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0"/>
              </w:rPr>
            </w:pPr>
            <w:r>
              <w:rPr>
                <w:rFonts w:ascii="Times New Roman;Times;serif" w:hAnsi="Times New Roman;Times;serif"/>
                <w:b/>
                <w:sz w:val="10"/>
              </w:rPr>
              <w:t>Per Note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0"/>
              </w:rPr>
            </w:pPr>
            <w:r>
              <w:rPr>
                <w:rFonts w:ascii="Times New Roman;Times;serif" w:hAnsi="Times New Roman;Times;serif"/>
                <w:b/>
                <w:sz w:val="10"/>
              </w:rPr>
              <w:t>Total</w:t>
            </w:r>
          </w:p>
        </w:tc>
      </w:tr>
      <w:tr>
        <w:trPr/>
        <w:tc>
          <w:tcPr>
            <w:tcW w:w="2116" w:type="dxa"/>
            <w:tcBorders/>
            <w:shd w:fill="CCEEFF" w:val="clear"/>
            <w:vAlign w:val="center"/>
          </w:tcPr>
          <w:p>
            <w:pPr>
              <w:pStyle w:val="TableContents"/>
              <w:pBdr/>
              <w:bidi w:val="0"/>
              <w:spacing w:lineRule="auto" w:line="240" w:before="0" w:after="0"/>
              <w:ind w:left="0" w:right="0" w:hanging="0"/>
              <w:jc w:val="left"/>
              <w:rPr>
                <w:rFonts w:ascii="Aptos" w:hAnsi="Aptos"/>
                <w:sz w:val="14"/>
              </w:rPr>
            </w:pPr>
            <w:r>
              <w:rPr>
                <w:rFonts w:ascii="Times New Roman;Times;serif" w:hAnsi="Times New Roman;Times;serif"/>
                <w:sz w:val="14"/>
              </w:rPr>
              <w:t>Public offering price</w:t>
            </w:r>
            <w:r>
              <w:rPr>
                <w:rFonts w:ascii="Times New Roman;Times;serif" w:hAnsi="Times New Roman;Times;serif"/>
                <w:sz w:val="11"/>
              </w:rPr>
              <w:t>(1)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98.859</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7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49,429,500</w:t>
            </w:r>
          </w:p>
        </w:tc>
      </w:tr>
      <w:tr>
        <w:trPr/>
        <w:tc>
          <w:tcPr>
            <w:tcW w:w="2116" w:type="dxa"/>
            <w:tcBorders/>
            <w:vAlign w:val="center"/>
          </w:tcPr>
          <w:p>
            <w:pPr>
              <w:pStyle w:val="TableContents"/>
              <w:pBdr/>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Underwriting discount (sales load)</w:t>
            </w:r>
          </w:p>
        </w:tc>
        <w:tc>
          <w:tcPr>
            <w:tcW w:w="346" w:type="dxa"/>
            <w:tcBorders/>
            <w:vAlign w:val="center"/>
          </w:tcPr>
          <w:p>
            <w:pPr>
              <w:pStyle w:val="TableContents"/>
              <w:bidi w:val="0"/>
              <w:spacing w:lineRule="auto" w:line="328" w:before="0" w:after="16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1.50</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7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750,000</w:t>
            </w:r>
          </w:p>
        </w:tc>
      </w:tr>
      <w:tr>
        <w:trPr/>
        <w:tc>
          <w:tcPr>
            <w:tcW w:w="2116" w:type="dxa"/>
            <w:tcBorders/>
            <w:shd w:fill="CCEEFF" w:val="clear"/>
            <w:vAlign w:val="center"/>
          </w:tcPr>
          <w:p>
            <w:pPr>
              <w:pStyle w:val="TableContents"/>
              <w:pBdr/>
              <w:bidi w:val="0"/>
              <w:spacing w:lineRule="auto" w:line="240" w:before="0" w:after="0"/>
              <w:ind w:left="0" w:right="0" w:hanging="0"/>
              <w:jc w:val="left"/>
              <w:rPr>
                <w:rFonts w:ascii="Aptos" w:hAnsi="Aptos"/>
                <w:sz w:val="14"/>
              </w:rPr>
            </w:pPr>
            <w:r>
              <w:rPr>
                <w:rFonts w:ascii="Times New Roman;Times;serif" w:hAnsi="Times New Roman;Times;serif"/>
                <w:sz w:val="14"/>
              </w:rPr>
              <w:t>Proceeds to us, before expenses</w:t>
            </w:r>
            <w:r>
              <w:rPr>
                <w:rFonts w:ascii="Times New Roman;Times;serif" w:hAnsi="Times New Roman;Times;serif"/>
                <w:sz w:val="11"/>
              </w:rPr>
              <w:t>(2)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97.359</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71"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14"/>
              </w:rPr>
            </w:pPr>
            <w:r>
              <w:rPr>
                <w:rFonts w:ascii="Times New Roman;Times;serif" w:hAnsi="Times New Roman;Times;serif"/>
                <w:sz w:val="14"/>
              </w:rPr>
              <w:t>48,679,500</w:t>
            </w:r>
          </w:p>
        </w:tc>
      </w:tr>
    </w:tbl>
    <w:tbl>
      <w:tblPr>
        <w:tblW w:w="9805" w:type="dxa"/>
        <w:jc w:val="left"/>
        <w:tblInd w:w="200" w:type="dxa"/>
        <w:tblLayout w:type="fixed"/>
        <w:tblCellMar>
          <w:top w:w="0" w:type="dxa"/>
          <w:left w:w="0" w:type="dxa"/>
          <w:bottom w:w="0" w:type="dxa"/>
          <w:right w:w="0" w:type="dxa"/>
        </w:tblCellMar>
      </w:tblPr>
      <w:tblGrid>
        <w:gridCol w:w="275"/>
        <w:gridCol w:w="9530"/>
      </w:tblGrid>
      <w:tr>
        <w:trPr/>
        <w:tc>
          <w:tcPr>
            <w:tcW w:w="275" w:type="dxa"/>
            <w:tcBorders/>
            <w:vAlign w:val="center"/>
          </w:tcPr>
          <w:p>
            <w:pPr>
              <w:pStyle w:val="TableContents"/>
              <w:bidi w:val="0"/>
              <w:spacing w:lineRule="auto" w:line="285" w:before="0" w:after="100"/>
              <w:jc w:val="left"/>
              <w:rPr>
                <w:rFonts w:ascii="Times New Roman;Times;serif" w:hAnsi="Times New Roman;Times;serif"/>
                <w:color w:val="231F20"/>
                <w:sz w:val="14"/>
              </w:rPr>
            </w:pPr>
            <w:r>
              <w:rPr>
                <w:rFonts w:ascii="Times New Roman;Times;serif" w:hAnsi="Times New Roman;Times;serif"/>
                <w:color w:val="231F20"/>
                <w:sz w:val="14"/>
              </w:rPr>
              <w:t>(1)</w:t>
            </w:r>
          </w:p>
        </w:tc>
        <w:tc>
          <w:tcPr>
            <w:tcW w:w="9530" w:type="dxa"/>
            <w:tcBorders/>
            <w:vAlign w:val="center"/>
          </w:tcPr>
          <w:p>
            <w:pPr>
              <w:pStyle w:val="TableContents"/>
              <w:bidi w:val="0"/>
              <w:spacing w:lineRule="auto" w:line="285" w:before="0" w:after="100"/>
              <w:jc w:val="left"/>
              <w:rPr>
                <w:rFonts w:ascii="Times New Roman;Times;serif" w:hAnsi="Times New Roman;Times;serif"/>
                <w:color w:val="231F20"/>
                <w:sz w:val="14"/>
              </w:rPr>
            </w:pPr>
            <w:r>
              <w:rPr>
                <w:rFonts w:ascii="Times New Roman;Times;serif" w:hAnsi="Times New Roman;Times;serif"/>
                <w:color w:val="231F20"/>
                <w:sz w:val="14"/>
              </w:rPr>
              <w:t>The public offering price set forth above does not include accrued interest, if any. Interest on the Notes will accrue from May 29, 2026 and must be paid by the purchaser if the Notes are delivered after May 29, 2026.</w:t>
            </w:r>
          </w:p>
        </w:tc>
      </w:tr>
    </w:tbl>
    <w:tbl>
      <w:tblPr>
        <w:tblW w:w="5492" w:type="dxa"/>
        <w:jc w:val="left"/>
        <w:tblInd w:w="200" w:type="dxa"/>
        <w:tblLayout w:type="fixed"/>
        <w:tblCellMar>
          <w:top w:w="0" w:type="dxa"/>
          <w:left w:w="0" w:type="dxa"/>
          <w:bottom w:w="0" w:type="dxa"/>
          <w:right w:w="0" w:type="dxa"/>
        </w:tblCellMar>
      </w:tblPr>
      <w:tblGrid>
        <w:gridCol w:w="286"/>
        <w:gridCol w:w="5206"/>
      </w:tblGrid>
      <w:tr>
        <w:trPr/>
        <w:tc>
          <w:tcPr>
            <w:tcW w:w="286" w:type="dxa"/>
            <w:tcBorders/>
            <w:vAlign w:val="center"/>
          </w:tcPr>
          <w:p>
            <w:pPr>
              <w:pStyle w:val="TableContents"/>
              <w:bidi w:val="0"/>
              <w:spacing w:lineRule="auto" w:line="285" w:before="0" w:after="100"/>
              <w:jc w:val="left"/>
              <w:rPr>
                <w:rFonts w:ascii="Times New Roman;Times;serif" w:hAnsi="Times New Roman;Times;serif"/>
                <w:color w:val="231F20"/>
                <w:sz w:val="14"/>
              </w:rPr>
            </w:pPr>
            <w:r>
              <w:rPr>
                <w:rFonts w:ascii="Times New Roman;Times;serif" w:hAnsi="Times New Roman;Times;serif"/>
                <w:color w:val="231F20"/>
                <w:sz w:val="14"/>
              </w:rPr>
              <w:t>(2)</w:t>
            </w:r>
          </w:p>
        </w:tc>
        <w:tc>
          <w:tcPr>
            <w:tcW w:w="5206" w:type="dxa"/>
            <w:tcBorders/>
            <w:vAlign w:val="center"/>
          </w:tcPr>
          <w:p>
            <w:pPr>
              <w:pStyle w:val="TableContents"/>
              <w:bidi w:val="0"/>
              <w:spacing w:lineRule="auto" w:line="285" w:before="0" w:after="100"/>
              <w:jc w:val="left"/>
              <w:rPr>
                <w:rFonts w:ascii="Times New Roman;Times;serif" w:hAnsi="Times New Roman;Times;serif"/>
                <w:color w:val="231F20"/>
                <w:sz w:val="14"/>
              </w:rPr>
            </w:pPr>
            <w:r>
              <w:rPr>
                <w:rFonts w:ascii="Times New Roman;Times;serif" w:hAnsi="Times New Roman;Times;serif"/>
                <w:color w:val="231F20"/>
                <w:sz w:val="14"/>
              </w:rPr>
              <w:t>Before deducting expenses payable by us related to this offering, estimated at $265,000.</w:t>
            </w:r>
          </w:p>
        </w:tc>
      </w:tr>
    </w:tbl>
    <w:p>
      <w:pPr>
        <w:pStyle w:val="TextBody"/>
        <w:bidi w:val="0"/>
        <w:spacing w:lineRule="auto" w:line="285" w:before="0" w:after="0"/>
        <w:ind w:left="200" w:right="200" w:firstLine="360"/>
        <w:jc w:val="left"/>
        <w:rPr>
          <w:rFonts w:ascii="Times New Roman;Times;serif" w:hAnsi="Times New Roman;Times;serif"/>
          <w:color w:val="231F20"/>
          <w:sz w:val="14"/>
        </w:rPr>
      </w:pPr>
      <w:r>
        <w:rPr>
          <w:rFonts w:ascii="Times New Roman;Times;serif" w:hAnsi="Times New Roman;Times;serif"/>
          <w:color w:val="231F20"/>
          <w:sz w:val="14"/>
        </w:rPr>
        <w:t>The underwriters are offering the Notes as set forth in “Underwriting.” Delivery of the Notes in book-entry form through The Depository Trust Company (“DTC”) will be made on or about May 29, 2026.</w:t>
      </w:r>
    </w:p>
    <w:p>
      <w:pPr>
        <w:pStyle w:val="TextBody"/>
        <w:bidi w:val="0"/>
        <w:spacing w:lineRule="auto" w:line="285" w:before="0" w:after="80"/>
        <w:ind w:left="200" w:right="200" w:hanging="0"/>
        <w:jc w:val="center"/>
        <w:rPr>
          <w:rFonts w:ascii="Times New Roman;Times;serif" w:hAnsi="Times New Roman;Times;serif"/>
          <w:i/>
          <w:color w:val="231F20"/>
          <w:sz w:val="14"/>
        </w:rPr>
      </w:pPr>
      <w:r>
        <w:rPr>
          <w:rFonts w:ascii="Times New Roman;Times;serif" w:hAnsi="Times New Roman;Times;serif"/>
          <w:i/>
          <w:color w:val="231F20"/>
          <w:sz w:val="14"/>
        </w:rPr>
        <w:t>Sole Book-Running Manager</w:t>
      </w:r>
    </w:p>
    <w:p>
      <w:pPr>
        <w:pStyle w:val="TextBody"/>
        <w:bidi w:val="0"/>
        <w:spacing w:lineRule="auto" w:line="285" w:before="0" w:after="100"/>
        <w:ind w:left="200" w:right="200" w:hanging="0"/>
        <w:jc w:val="center"/>
        <w:rPr>
          <w:rFonts w:ascii="Times New Roman;Times;serif" w:hAnsi="Times New Roman;Times;serif"/>
          <w:b/>
          <w:color w:val="231F20"/>
          <w:sz w:val="22"/>
        </w:rPr>
      </w:pPr>
      <w:r>
        <w:rPr>
          <w:rFonts w:ascii="Times New Roman;Times;serif" w:hAnsi="Times New Roman;Times;serif"/>
          <w:b/>
          <w:color w:val="231F20"/>
          <w:sz w:val="22"/>
        </w:rPr>
        <w:t>Oppenheimer &amp; Co.</w:t>
      </w:r>
    </w:p>
    <w:p>
      <w:pPr>
        <w:pStyle w:val="TextBody"/>
        <w:bidi w:val="0"/>
        <w:spacing w:lineRule="auto" w:line="285" w:before="0" w:after="100"/>
        <w:ind w:left="200" w:right="200" w:hanging="0"/>
        <w:jc w:val="center"/>
        <w:rPr>
          <w:rFonts w:ascii="Times New Roman;Times;serif" w:hAnsi="Times New Roman;Times;serif"/>
          <w:i/>
          <w:color w:val="231F20"/>
          <w:sz w:val="14"/>
        </w:rPr>
      </w:pPr>
      <w:r>
        <w:rPr>
          <w:rFonts w:ascii="Times New Roman;Times;serif" w:hAnsi="Times New Roman;Times;serif"/>
          <w:i/>
          <w:color w:val="231F20"/>
          <w:sz w:val="14"/>
        </w:rPr>
        <w:t>Co-Manager</w:t>
      </w:r>
    </w:p>
    <w:p>
      <w:pPr>
        <w:pStyle w:val="TextBody"/>
        <w:bidi w:val="0"/>
        <w:spacing w:lineRule="auto" w:line="285" w:before="0" w:after="0"/>
        <w:ind w:left="200" w:right="200" w:hanging="0"/>
        <w:jc w:val="center"/>
        <w:rPr>
          <w:rFonts w:ascii="Times New Roman;Times;serif" w:hAnsi="Times New Roman;Times;serif"/>
          <w:b/>
          <w:color w:val="231F20"/>
          <w:sz w:val="22"/>
        </w:rPr>
      </w:pPr>
      <w:r>
        <w:rPr>
          <w:rFonts w:ascii="Times New Roman;Times;serif" w:hAnsi="Times New Roman;Times;serif"/>
          <w:b/>
          <w:color w:val="231F20"/>
          <w:sz w:val="22"/>
        </w:rPr>
        <w:t>BC Partners Securities</w:t>
      </w:r>
    </w:p>
    <w:p>
      <w:pPr>
        <w:pStyle w:val="TextBody"/>
        <w:bidi w:val="0"/>
        <w:spacing w:lineRule="auto" w:line="285" w:before="0" w:after="0"/>
        <w:ind w:left="200" w:right="200" w:hanging="0"/>
        <w:jc w:val="center"/>
        <w:rPr>
          <w:rFonts w:ascii="Times New Roman;Times;serif" w:hAnsi="Times New Roman;Times;serif"/>
          <w:color w:val="231F20"/>
          <w:sz w:val="14"/>
        </w:rPr>
      </w:pPr>
      <w:r>
        <w:rPr>
          <w:rFonts w:ascii="Times New Roman;Times;serif" w:hAnsi="Times New Roman;Times;serif"/>
          <w:color w:val="231F20"/>
          <w:sz w:val="14"/>
        </w:rPr>
        <w:t>The date of this prospectus supplement is May 27, 2026.</w:t>
      </w:r>
    </w:p>
    <w:p>
      <w:pPr>
        <w:pStyle w:val="TextBody"/>
        <w:bidi w:val="0"/>
        <w:spacing w:lineRule="auto" w:line="328" w:before="0" w:after="160"/>
        <w:ind w:left="200" w:right="200" w:hanging="0"/>
        <w:jc w:val="left"/>
        <w:rPr/>
      </w:pPr>
      <w:r>
        <w:rPr/>
        <w:t>​</w:t>
      </w:r>
    </w:p>
    <w:p>
      <w:pPr>
        <w:pStyle w:val="TextBody"/>
        <w:bidi w:val="0"/>
        <w:spacing w:lineRule="auto" w:line="285" w:before="0" w:after="0"/>
        <w:ind w:left="200" w:right="200" w:hanging="0"/>
        <w:jc w:val="left"/>
        <w:rPr/>
      </w:pPr>
      <w:r>
        <w:rPr/>
        <w:t>​</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3" w:name="_78669fe0_a7c8_403a_bc77_289a61756e23"/>
      <w:bookmarkEnd w:id="3"/>
      <w:r>
        <w:rPr>
          <w:rFonts w:ascii="Times New Roman;Times;serif" w:hAnsi="Times New Roman;Times;serif"/>
          <w:b/>
          <w:color w:val="231F20"/>
          <w:sz w:val="20"/>
        </w:rPr>
        <w:t>ABOUT THIS PROSPECTUS SUPPLEMENT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should rely only on the information contained in this prospectus supplement, the accompanying prospectus, any free writing prospectus, the documents incorporated by reference in this prospectus supplement and the accompanying prospectus, or any other information which we have referred you. Neither we nor the underwriters have authorized any other person to provide you with different information from that contained in this prospectus supplement, the accompanying prospectus and in any free writing prospectus. If anyone provides you with different or inconsistent information, you should not rely on it. This prospectus supplement, the accompanying prospectus, or any free writing prospectus do not constitute an offer to sell, or a solicitation of an offer to buy, any Notes by any person in any jurisdiction where it is unlawful for that person to make such an offer or solicitation or to any person in any jurisdiction to whom it is unlawful to make such an offer or solicitation. The information contained in this prospectus supplement, the accompanying prospectus, and any free writing prospectus is complete and accurate only as of their respective dates, regardless of the time of their delivery or sale of the Notes. Our business, financial condition, results of operations and prospects may have changed since that date.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This document is in two parts. The first part is this prospectus supplement, which describes the terms of this offering and the Notes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should read this prospectus supplement and the accompanying prospectus together with the additional information described under the heading “Available Information” before investing in the Notes.</w:t>
      </w:r>
    </w:p>
    <w:p>
      <w:pPr>
        <w:pStyle w:val="TextBody"/>
        <w:bidi w:val="0"/>
        <w:spacing w:lineRule="auto" w:line="328" w:before="0" w:after="160"/>
        <w:ind w:left="200" w:right="200" w:hanging="0"/>
        <w:jc w:val="left"/>
        <w:rPr/>
      </w:pPr>
      <w:r>
        <w:rPr/>
        <w:t>​</w:t>
      </w:r>
    </w:p>
    <w:p>
      <w:pPr>
        <w:pStyle w:val="TextBody"/>
        <w:bidi w:val="0"/>
        <w:spacing w:lineRule="auto" w:line="328" w:before="0" w:after="160"/>
        <w:ind w:left="200" w:right="200" w:hanging="0"/>
        <w:jc w:val="left"/>
        <w:rPr/>
      </w:pPr>
      <w:r>
        <w:rPr/>
        <w:t>​</w:t>
      </w:r>
    </w:p>
    <w:p>
      <w:pPr>
        <w:pStyle w:val="TextBody"/>
        <w:bidi w:val="0"/>
        <w:spacing w:lineRule="auto" w:line="285" w:before="0" w:after="0"/>
        <w:ind w:left="200" w:right="200" w:hanging="0"/>
        <w:jc w:val="left"/>
        <w:rPr/>
      </w:pPr>
      <w:r>
        <w:rPr/>
        <w:t>​</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4" w:name="_ec7e2664_9898_46f7_acef_5af1c1cc2c12"/>
      <w:bookmarkStart w:id="5" w:name="TOC"/>
      <w:bookmarkEnd w:id="4"/>
      <w:bookmarkEnd w:id="5"/>
      <w:r>
        <w:rPr>
          <w:rFonts w:ascii="Times New Roman;Times;serif" w:hAnsi="Times New Roman;Times;serif"/>
          <w:b/>
          <w:color w:val="231F20"/>
          <w:sz w:val="20"/>
        </w:rPr>
        <w:t>TABLE OF CONTENTS</w:t>
      </w:r>
    </w:p>
    <w:p>
      <w:pPr>
        <w:pStyle w:val="TextBody"/>
        <w:bidi w:val="0"/>
        <w:spacing w:lineRule="auto" w:line="285" w:before="0" w:after="240"/>
        <w:ind w:left="200" w:right="200" w:hanging="0"/>
        <w:jc w:val="center"/>
        <w:rPr>
          <w:rFonts w:ascii="Times New Roman;Times;serif" w:hAnsi="Times New Roman;Times;serif"/>
          <w:b/>
          <w:color w:val="231F20"/>
          <w:sz w:val="20"/>
        </w:rPr>
      </w:pPr>
      <w:r>
        <w:rPr>
          <w:rFonts w:ascii="Times New Roman;Times;serif" w:hAnsi="Times New Roman;Times;serif"/>
          <w:b/>
          <w:color w:val="231F20"/>
          <w:sz w:val="20"/>
        </w:rPr>
        <w:t>Prospectus Supplement</w:t>
      </w:r>
    </w:p>
    <w:tbl>
      <w:tblPr>
        <w:tblW w:w="6872" w:type="dxa"/>
        <w:jc w:val="left"/>
        <w:tblInd w:w="200" w:type="dxa"/>
        <w:tblLayout w:type="fixed"/>
        <w:tblCellMar>
          <w:top w:w="0" w:type="dxa"/>
          <w:left w:w="0" w:type="dxa"/>
          <w:bottom w:w="0" w:type="dxa"/>
          <w:right w:w="0" w:type="dxa"/>
        </w:tblCellMar>
      </w:tblPr>
      <w:tblGrid>
        <w:gridCol w:w="6346"/>
        <w:gridCol w:w="526"/>
      </w:tblGrid>
      <w:tr>
        <w:trPr/>
        <w:tc>
          <w:tcPr>
            <w:tcW w:w="6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hanging="0"/>
              <w:jc w:val="left"/>
              <w:rPr>
                <w:sz w:val="4"/>
                <w:szCs w:val="4"/>
              </w:rPr>
            </w:pPr>
            <w:r>
              <w:rPr>
                <w:sz w:val="4"/>
                <w:szCs w:val="4"/>
              </w:rPr>
            </w:r>
          </w:p>
        </w:tc>
      </w:tr>
      <w:tr>
        <w:trPr/>
        <w:tc>
          <w:tcPr>
            <w:tcW w:w="6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029710" cy="175260"/>
                      <wp:effectExtent l="0" t="0" r="0" b="0"/>
                      <wp:wrapNone/>
                      <wp:docPr id="1" name="Frame1"/>
                      <a:graphic xmlns:a="http://schemas.openxmlformats.org/drawingml/2006/main">
                        <a:graphicData uri="http://schemas.microsoft.com/office/word/2010/wordprocessingShape">
                          <wps:wsp>
                            <wps:cNvSpPr txBox="1"/>
                            <wps:spPr>
                              <a:xfrm>
                                <a:off x="0" y="0"/>
                                <a:ext cx="402971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34010" cy="29210"/>
                      <wp:effectExtent l="0" t="0" r="0" b="0"/>
                      <wp:wrapNone/>
                      <wp:docPr id="2" name="Frame2"/>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346" w:type="dxa"/>
            <w:tcBorders/>
            <w:vAlign w:val="center"/>
          </w:tcPr>
          <w:p>
            <w:pPr>
              <w:pStyle w:val="TableContents"/>
              <w:bidi w:val="0"/>
              <w:spacing w:lineRule="auto" w:line="328" w:before="0" w:after="16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6346" w:type="dxa"/>
            <w:tcBorders/>
            <w:shd w:fill="CCEEFF" w:val="clear"/>
            <w:vAlign w:val="center"/>
          </w:tcPr>
          <w:p>
            <w:pPr>
              <w:pStyle w:val="TableContents"/>
              <w:bidi w:val="0"/>
              <w:spacing w:lineRule="auto" w:line="285" w:before="0" w:after="20"/>
              <w:ind w:left="0" w:right="0" w:hanging="0"/>
              <w:jc w:val="left"/>
              <w:rPr/>
            </w:pPr>
            <w:hyperlink w:anchor="PROSPECTUSSUPPLEMENT_135418">
              <w:r>
                <w:rPr>
                  <w:rStyle w:val="InternetLink"/>
                  <w:rFonts w:ascii="Times New Roman;Times;serif" w:hAnsi="Times New Roman;Times;serif"/>
                  <w:b w:val="false"/>
                  <w:i w:val="false"/>
                  <w:caps w:val="false"/>
                  <w:smallCaps w:val="false"/>
                  <w:sz w:val="20"/>
                </w:rPr>
                <w:t>PROSPECTUS SUPPLEMENT SUMMARY</w:t>
              </w:r>
            </w:hyperlink>
          </w:p>
        </w:tc>
        <w:tc>
          <w:tcPr>
            <w:tcW w:w="526" w:type="dxa"/>
            <w:tcBorders>
              <w:top w:val="single" w:sz="2" w:space="0" w:color="000000"/>
            </w:tcBorders>
            <w:shd w:fill="CCEEFF" w:val="clear"/>
            <w:tcMar>
              <w:top w:w="28" w:type="dxa"/>
            </w:tcM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S-1</w:t>
            </w:r>
          </w:p>
        </w:tc>
      </w:tr>
      <w:tr>
        <w:trPr/>
        <w:tc>
          <w:tcPr>
            <w:tcW w:w="6346" w:type="dxa"/>
            <w:tcBorders/>
            <w:vAlign w:val="center"/>
          </w:tcPr>
          <w:p>
            <w:pPr>
              <w:pStyle w:val="TableContents"/>
              <w:bidi w:val="0"/>
              <w:spacing w:lineRule="auto" w:line="285" w:before="0" w:after="20"/>
              <w:ind w:left="0" w:right="0" w:hanging="0"/>
              <w:jc w:val="left"/>
              <w:rPr/>
            </w:pPr>
            <w:hyperlink w:anchor="THEOFFERING_344489">
              <w:r>
                <w:rPr>
                  <w:rStyle w:val="InternetLink"/>
                  <w:rFonts w:ascii="Times New Roman;Times;serif" w:hAnsi="Times New Roman;Times;serif"/>
                  <w:b w:val="false"/>
                  <w:i w:val="false"/>
                  <w:caps w:val="false"/>
                  <w:smallCaps w:val="false"/>
                  <w:sz w:val="20"/>
                </w:rPr>
                <w:t>THE OFFERING</w:t>
              </w:r>
            </w:hyperlink>
          </w:p>
        </w:tc>
        <w:tc>
          <w:tcPr>
            <w:tcW w:w="526"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S-10</w:t>
            </w:r>
          </w:p>
        </w:tc>
      </w:tr>
      <w:tr>
        <w:trPr/>
        <w:tc>
          <w:tcPr>
            <w:tcW w:w="6346" w:type="dxa"/>
            <w:tcBorders/>
            <w:shd w:fill="CCEEFF" w:val="clear"/>
            <w:vAlign w:val="center"/>
          </w:tcPr>
          <w:p>
            <w:pPr>
              <w:pStyle w:val="TableContents"/>
              <w:bidi w:val="0"/>
              <w:spacing w:lineRule="auto" w:line="285" w:before="0" w:after="20"/>
              <w:ind w:left="0" w:right="0" w:hanging="0"/>
              <w:jc w:val="left"/>
              <w:rPr/>
            </w:pPr>
            <w:hyperlink w:anchor="SUPPLEMENTARYRISKFACTORS_439381">
              <w:r>
                <w:rPr>
                  <w:rStyle w:val="InternetLink"/>
                  <w:rFonts w:ascii="Times New Roman;Times;serif" w:hAnsi="Times New Roman;Times;serif"/>
                  <w:b w:val="false"/>
                  <w:i w:val="false"/>
                  <w:caps w:val="false"/>
                  <w:smallCaps w:val="false"/>
                  <w:sz w:val="20"/>
                </w:rPr>
                <w:t>SUPPLEMENTARY RISK FACTORS</w:t>
              </w:r>
            </w:hyperlink>
          </w:p>
        </w:tc>
        <w:tc>
          <w:tcPr>
            <w:tcW w:w="526"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S-13</w:t>
            </w:r>
          </w:p>
        </w:tc>
      </w:tr>
      <w:tr>
        <w:trPr/>
        <w:tc>
          <w:tcPr>
            <w:tcW w:w="6346" w:type="dxa"/>
            <w:tcBorders/>
            <w:vAlign w:val="center"/>
          </w:tcPr>
          <w:p>
            <w:pPr>
              <w:pStyle w:val="TableContents"/>
              <w:bidi w:val="0"/>
              <w:spacing w:lineRule="auto" w:line="285" w:before="0" w:after="20"/>
              <w:ind w:left="0" w:right="0" w:hanging="0"/>
              <w:jc w:val="left"/>
              <w:rPr/>
            </w:pPr>
            <w:hyperlink w:anchor="CAUTIONARYNOTE_904079">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26"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S-17</w:t>
            </w:r>
          </w:p>
        </w:tc>
      </w:tr>
      <w:tr>
        <w:trPr/>
        <w:tc>
          <w:tcPr>
            <w:tcW w:w="6346" w:type="dxa"/>
            <w:tcBorders/>
            <w:shd w:fill="CCEEFF" w:val="clear"/>
            <w:vAlign w:val="center"/>
          </w:tcPr>
          <w:p>
            <w:pPr>
              <w:pStyle w:val="TableContents"/>
              <w:bidi w:val="0"/>
              <w:spacing w:lineRule="auto" w:line="285" w:before="0" w:after="20"/>
              <w:ind w:left="0" w:right="0" w:hanging="0"/>
              <w:jc w:val="left"/>
              <w:rPr/>
            </w:pPr>
            <w:hyperlink w:anchor="USEOFPROCEEDS_327140">
              <w:r>
                <w:rPr>
                  <w:rStyle w:val="InternetLink"/>
                  <w:rFonts w:ascii="Times New Roman;Times;serif" w:hAnsi="Times New Roman;Times;serif"/>
                  <w:b w:val="false"/>
                  <w:i w:val="false"/>
                  <w:caps w:val="false"/>
                  <w:smallCaps w:val="false"/>
                  <w:sz w:val="20"/>
                </w:rPr>
                <w:t>USE OF PROCEEDS</w:t>
              </w:r>
            </w:hyperlink>
          </w:p>
        </w:tc>
        <w:tc>
          <w:tcPr>
            <w:tcW w:w="526"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S-19</w:t>
            </w:r>
          </w:p>
        </w:tc>
      </w:tr>
      <w:tr>
        <w:trPr/>
        <w:tc>
          <w:tcPr>
            <w:tcW w:w="6346" w:type="dxa"/>
            <w:tcBorders/>
            <w:vAlign w:val="center"/>
          </w:tcPr>
          <w:p>
            <w:pPr>
              <w:pStyle w:val="TableContents"/>
              <w:bidi w:val="0"/>
              <w:spacing w:lineRule="auto" w:line="285" w:before="0" w:after="20"/>
              <w:ind w:left="0" w:right="0" w:hanging="0"/>
              <w:jc w:val="left"/>
              <w:rPr/>
            </w:pPr>
            <w:hyperlink w:anchor="CAPITALIZATION_625936">
              <w:r>
                <w:rPr>
                  <w:rStyle w:val="InternetLink"/>
                  <w:rFonts w:ascii="Times New Roman;Times;serif" w:hAnsi="Times New Roman;Times;serif"/>
                  <w:b w:val="false"/>
                  <w:i w:val="false"/>
                  <w:caps w:val="false"/>
                  <w:smallCaps w:val="false"/>
                  <w:sz w:val="20"/>
                </w:rPr>
                <w:t>CAPITALIZATION</w:t>
              </w:r>
            </w:hyperlink>
          </w:p>
        </w:tc>
        <w:tc>
          <w:tcPr>
            <w:tcW w:w="526"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S-20</w:t>
            </w:r>
          </w:p>
        </w:tc>
      </w:tr>
      <w:tr>
        <w:trPr/>
        <w:tc>
          <w:tcPr>
            <w:tcW w:w="6346" w:type="dxa"/>
            <w:tcBorders/>
            <w:shd w:fill="CCEEFF" w:val="clear"/>
            <w:vAlign w:val="center"/>
          </w:tcPr>
          <w:p>
            <w:pPr>
              <w:pStyle w:val="TableContents"/>
              <w:bidi w:val="0"/>
              <w:spacing w:lineRule="auto" w:line="285" w:before="0" w:after="20"/>
              <w:ind w:left="0" w:right="0" w:hanging="0"/>
              <w:jc w:val="left"/>
              <w:rPr/>
            </w:pPr>
            <w:hyperlink w:anchor="DESCRIPTIONOFTHENOTES_961283">
              <w:r>
                <w:rPr>
                  <w:rStyle w:val="InternetLink"/>
                  <w:rFonts w:ascii="Times New Roman;Times;serif" w:hAnsi="Times New Roman;Times;serif"/>
                  <w:b w:val="false"/>
                  <w:i w:val="false"/>
                  <w:caps w:val="false"/>
                  <w:smallCaps w:val="false"/>
                  <w:sz w:val="20"/>
                </w:rPr>
                <w:t>DESCRIPTION OF THE NOTES</w:t>
              </w:r>
            </w:hyperlink>
          </w:p>
        </w:tc>
        <w:tc>
          <w:tcPr>
            <w:tcW w:w="526"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S-21</w:t>
            </w:r>
          </w:p>
        </w:tc>
      </w:tr>
      <w:tr>
        <w:trPr/>
        <w:tc>
          <w:tcPr>
            <w:tcW w:w="6346" w:type="dxa"/>
            <w:tcBorders/>
            <w:vAlign w:val="center"/>
          </w:tcPr>
          <w:p>
            <w:pPr>
              <w:pStyle w:val="TableContents"/>
              <w:bidi w:val="0"/>
              <w:spacing w:lineRule="auto" w:line="285" w:before="0" w:after="20"/>
              <w:ind w:left="0" w:right="0" w:hanging="0"/>
              <w:jc w:val="left"/>
              <w:rPr/>
            </w:pPr>
            <w:hyperlink w:anchor="MATERIALUNITEDSTATES_536388">
              <w:r>
                <w:rPr>
                  <w:rStyle w:val="InternetLink"/>
                  <w:rFonts w:ascii="Times New Roman;Times;serif" w:hAnsi="Times New Roman;Times;serif"/>
                  <w:b w:val="false"/>
                  <w:i w:val="false"/>
                  <w:caps w:val="false"/>
                  <w:smallCaps w:val="false"/>
                  <w:sz w:val="20"/>
                </w:rPr>
                <w:t>MATERIAL UNITED STATES FEDERAL INCOME TAX CONSEQUENCES</w:t>
              </w:r>
            </w:hyperlink>
          </w:p>
        </w:tc>
        <w:tc>
          <w:tcPr>
            <w:tcW w:w="526"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S-33</w:t>
            </w:r>
          </w:p>
        </w:tc>
      </w:tr>
      <w:tr>
        <w:trPr/>
        <w:tc>
          <w:tcPr>
            <w:tcW w:w="6346" w:type="dxa"/>
            <w:tcBorders/>
            <w:shd w:fill="CCEEFF" w:val="clear"/>
            <w:vAlign w:val="center"/>
          </w:tcPr>
          <w:p>
            <w:pPr>
              <w:pStyle w:val="TableContents"/>
              <w:bidi w:val="0"/>
              <w:spacing w:lineRule="auto" w:line="285" w:before="0" w:after="20"/>
              <w:ind w:left="0" w:right="0" w:hanging="0"/>
              <w:jc w:val="left"/>
              <w:rPr/>
            </w:pPr>
            <w:hyperlink w:anchor="UNDERWRITING_14441">
              <w:r>
                <w:rPr>
                  <w:rStyle w:val="InternetLink"/>
                  <w:rFonts w:ascii="Times New Roman;Times;serif" w:hAnsi="Times New Roman;Times;serif"/>
                  <w:b w:val="false"/>
                  <w:i w:val="false"/>
                  <w:caps w:val="false"/>
                  <w:smallCaps w:val="false"/>
                  <w:sz w:val="20"/>
                </w:rPr>
                <w:t>UNDERWRITING</w:t>
              </w:r>
            </w:hyperlink>
          </w:p>
        </w:tc>
        <w:tc>
          <w:tcPr>
            <w:tcW w:w="526"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S-38</w:t>
            </w:r>
          </w:p>
        </w:tc>
      </w:tr>
      <w:tr>
        <w:trPr/>
        <w:tc>
          <w:tcPr>
            <w:tcW w:w="6346" w:type="dxa"/>
            <w:tcBorders/>
            <w:vAlign w:val="center"/>
          </w:tcPr>
          <w:p>
            <w:pPr>
              <w:pStyle w:val="TableContents"/>
              <w:bidi w:val="0"/>
              <w:spacing w:lineRule="auto" w:line="285" w:before="0" w:after="20"/>
              <w:ind w:left="0" w:right="0" w:hanging="0"/>
              <w:jc w:val="left"/>
              <w:rPr/>
            </w:pPr>
            <w:hyperlink w:anchor="LEGALMATTERS_482078">
              <w:r>
                <w:rPr>
                  <w:rStyle w:val="InternetLink"/>
                  <w:rFonts w:ascii="Times New Roman;Times;serif" w:hAnsi="Times New Roman;Times;serif"/>
                  <w:b w:val="false"/>
                  <w:i w:val="false"/>
                  <w:caps w:val="false"/>
                  <w:smallCaps w:val="false"/>
                  <w:sz w:val="20"/>
                </w:rPr>
                <w:t>LEGAL MATTERS</w:t>
              </w:r>
            </w:hyperlink>
          </w:p>
        </w:tc>
        <w:tc>
          <w:tcPr>
            <w:tcW w:w="526"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S-41</w:t>
            </w:r>
          </w:p>
        </w:tc>
      </w:tr>
      <w:tr>
        <w:trPr/>
        <w:tc>
          <w:tcPr>
            <w:tcW w:w="6346" w:type="dxa"/>
            <w:tcBorders/>
            <w:shd w:fill="CCEEFF" w:val="clear"/>
            <w:vAlign w:val="center"/>
          </w:tcPr>
          <w:p>
            <w:pPr>
              <w:pStyle w:val="TableContents"/>
              <w:bidi w:val="0"/>
              <w:spacing w:lineRule="auto" w:line="285" w:before="0" w:after="20"/>
              <w:ind w:left="0" w:right="0" w:hanging="0"/>
              <w:jc w:val="left"/>
              <w:rPr/>
            </w:pPr>
            <w:hyperlink w:anchor="INDEPENDENTREGIST_877795">
              <w:r>
                <w:rPr>
                  <w:rStyle w:val="InternetLink"/>
                  <w:rFonts w:ascii="Times New Roman;Times;serif" w:hAnsi="Times New Roman;Times;serif"/>
                  <w:b w:val="false"/>
                  <w:i w:val="false"/>
                  <w:caps w:val="false"/>
                  <w:smallCaps w:val="false"/>
                  <w:sz w:val="20"/>
                </w:rPr>
                <w:t>INDEPENDENT REGISTERED PUBLIC ACCOUNTING FIRM</w:t>
              </w:r>
            </w:hyperlink>
          </w:p>
        </w:tc>
        <w:tc>
          <w:tcPr>
            <w:tcW w:w="526"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S-41</w:t>
            </w:r>
          </w:p>
        </w:tc>
      </w:tr>
      <w:tr>
        <w:trPr/>
        <w:tc>
          <w:tcPr>
            <w:tcW w:w="6346" w:type="dxa"/>
            <w:tcBorders/>
            <w:vAlign w:val="center"/>
          </w:tcPr>
          <w:p>
            <w:pPr>
              <w:pStyle w:val="TableContents"/>
              <w:bidi w:val="0"/>
              <w:spacing w:lineRule="auto" w:line="285" w:before="0" w:after="20"/>
              <w:ind w:left="0" w:right="0" w:hanging="0"/>
              <w:jc w:val="left"/>
              <w:rPr/>
            </w:pPr>
            <w:hyperlink w:anchor="AVAILABLEINFORMATION_387161">
              <w:r>
                <w:rPr>
                  <w:rStyle w:val="InternetLink"/>
                  <w:rFonts w:ascii="Times New Roman;Times;serif" w:hAnsi="Times New Roman;Times;serif"/>
                  <w:b w:val="false"/>
                  <w:i w:val="false"/>
                  <w:caps w:val="false"/>
                  <w:smallCaps w:val="false"/>
                  <w:sz w:val="20"/>
                </w:rPr>
                <w:t>AVAILABLE INFORMATION</w:t>
              </w:r>
            </w:hyperlink>
          </w:p>
        </w:tc>
        <w:tc>
          <w:tcPr>
            <w:tcW w:w="526"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S-41</w:t>
            </w:r>
          </w:p>
        </w:tc>
      </w:tr>
      <w:tr>
        <w:trPr/>
        <w:tc>
          <w:tcPr>
            <w:tcW w:w="6346" w:type="dxa"/>
            <w:tcBorders/>
            <w:shd w:fill="CCEEFF" w:val="clear"/>
            <w:vAlign w:val="center"/>
          </w:tcPr>
          <w:p>
            <w:pPr>
              <w:pStyle w:val="TableContents"/>
              <w:bidi w:val="0"/>
              <w:spacing w:lineRule="auto" w:line="285" w:before="0" w:after="20"/>
              <w:ind w:left="0" w:right="0" w:hanging="0"/>
              <w:jc w:val="left"/>
              <w:rPr/>
            </w:pPr>
            <w:hyperlink w:anchor="INCORPORATIONBYREFERENCE_594736">
              <w:r>
                <w:rPr>
                  <w:rStyle w:val="InternetLink"/>
                  <w:rFonts w:ascii="Times New Roman;Times;serif" w:hAnsi="Times New Roman;Times;serif"/>
                  <w:b w:val="false"/>
                  <w:i w:val="false"/>
                  <w:caps w:val="false"/>
                  <w:smallCaps w:val="false"/>
                  <w:sz w:val="20"/>
                </w:rPr>
                <w:t>INCORPORATION BY REFERENCE</w:t>
              </w:r>
            </w:hyperlink>
          </w:p>
        </w:tc>
        <w:tc>
          <w:tcPr>
            <w:tcW w:w="526"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S-42</w:t>
            </w:r>
          </w:p>
        </w:tc>
      </w:tr>
    </w:tbl>
    <w:p>
      <w:pPr>
        <w:pStyle w:val="TextBody"/>
        <w:bidi w:val="0"/>
        <w:spacing w:lineRule="auto" w:line="328" w:before="0" w:after="160"/>
        <w:ind w:left="200" w:right="200" w:hanging="0"/>
        <w:jc w:val="left"/>
        <w:rPr/>
      </w:pPr>
      <w:r>
        <w:rPr/>
        <w:t>​</w:t>
      </w:r>
    </w:p>
    <w:p>
      <w:pPr>
        <w:pStyle w:val="TextBody"/>
        <w:bidi w:val="0"/>
        <w:spacing w:lineRule="auto" w:line="285" w:before="0" w:after="0"/>
        <w:ind w:left="200" w:right="200" w:hanging="0"/>
        <w:jc w:val="center"/>
        <w:rPr>
          <w:rFonts w:ascii="Times New Roman;Times;serif" w:hAnsi="Times New Roman;Times;serif"/>
          <w:b/>
          <w:color w:val="231F20"/>
          <w:sz w:val="20"/>
        </w:rPr>
      </w:pPr>
      <w:r>
        <w:rPr>
          <w:rFonts w:ascii="Times New Roman;Times;serif" w:hAnsi="Times New Roman;Times;serif"/>
          <w:b/>
          <w:color w:val="231F20"/>
          <w:sz w:val="20"/>
        </w:rPr>
        <w:t>Prospectus</w:t>
      </w:r>
    </w:p>
    <w:p>
      <w:pPr>
        <w:pStyle w:val="TextBody"/>
        <w:bidi w:val="0"/>
        <w:spacing w:lineRule="auto" w:line="328" w:before="0" w:after="16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9444"/>
        <w:gridCol w:w="361"/>
      </w:tblGrid>
      <w:tr>
        <w:trPr/>
        <w:tc>
          <w:tcPr>
            <w:tcW w:w="94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9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996940" cy="29210"/>
                      <wp:effectExtent l="0" t="0" r="0" b="0"/>
                      <wp:wrapNone/>
                      <wp:docPr id="3" name="Frame3"/>
                      <a:graphic xmlns:a="http://schemas.openxmlformats.org/drawingml/2006/main">
                        <a:graphicData uri="http://schemas.microsoft.com/office/word/2010/wordprocessingShape">
                          <wps:wsp>
                            <wps:cNvSpPr txBox="1"/>
                            <wps:spPr>
                              <a:xfrm>
                                <a:off x="0" y="0"/>
                                <a:ext cx="5996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9235" cy="29210"/>
                      <wp:effectExtent l="0" t="0" r="0" b="0"/>
                      <wp:wrapNone/>
                      <wp:docPr id="4" name="Frame4"/>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ABOUTTHISPROSPECTUS_557308">
              <w:r>
                <w:rPr>
                  <w:rStyle w:val="InternetLink"/>
                  <w:rFonts w:ascii="Times New Roman;Times;serif" w:hAnsi="Times New Roman;Times;serif"/>
                  <w:b w:val="false"/>
                  <w:i w:val="false"/>
                  <w:caps w:val="false"/>
                  <w:smallCaps w:val="false"/>
                  <w:sz w:val="20"/>
                </w:rPr>
                <w:t>ABOUT THIS PROSPECTUS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444" w:type="dxa"/>
            <w:tcBorders/>
            <w:vAlign w:val="center"/>
          </w:tcPr>
          <w:p>
            <w:pPr>
              <w:pStyle w:val="TableContents"/>
              <w:bidi w:val="0"/>
              <w:spacing w:lineRule="auto" w:line="285" w:before="0" w:after="20"/>
              <w:ind w:left="0" w:right="0" w:hanging="0"/>
              <w:jc w:val="left"/>
              <w:rPr/>
            </w:pPr>
            <w:hyperlink w:anchor="PROSPECTUSSUMMARY_148139">
              <w:r>
                <w:rPr>
                  <w:rStyle w:val="InternetLink"/>
                  <w:rFonts w:ascii="Times New Roman;Times;serif" w:hAnsi="Times New Roman;Times;serif"/>
                  <w:b w:val="false"/>
                  <w:i w:val="false"/>
                  <w:caps w:val="false"/>
                  <w:smallCaps w:val="false"/>
                  <w:sz w:val="20"/>
                </w:rPr>
                <w:t>PROSPECTUS SUMMARY</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FEESANDEXPENSES_40074">
              <w:r>
                <w:rPr>
                  <w:rStyle w:val="InternetLink"/>
                  <w:rFonts w:ascii="Times New Roman;Times;serif" w:hAnsi="Times New Roman;Times;serif"/>
                  <w:b w:val="false"/>
                  <w:i w:val="false"/>
                  <w:caps w:val="false"/>
                  <w:smallCaps w:val="false"/>
                  <w:sz w:val="20"/>
                </w:rPr>
                <w:t>FEES AND EXPENSES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444" w:type="dxa"/>
            <w:tcBorders/>
            <w:vAlign w:val="center"/>
          </w:tcPr>
          <w:p>
            <w:pPr>
              <w:pStyle w:val="TableContents"/>
              <w:bidi w:val="0"/>
              <w:spacing w:lineRule="auto" w:line="285" w:before="0" w:after="20"/>
              <w:ind w:left="0" w:right="0" w:hanging="0"/>
              <w:jc w:val="left"/>
              <w:rPr/>
            </w:pPr>
            <w:hyperlink w:anchor="FINANCIALHIGHLIGHTS_619969">
              <w:r>
                <w:rPr>
                  <w:rStyle w:val="InternetLink"/>
                  <w:rFonts w:ascii="Times New Roman;Times;serif" w:hAnsi="Times New Roman;Times;serif"/>
                  <w:b w:val="false"/>
                  <w:i w:val="false"/>
                  <w:caps w:val="false"/>
                  <w:smallCaps w:val="false"/>
                  <w:sz w:val="20"/>
                </w:rPr>
                <w:t>FINANCIAL HIGHLIGHTS</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SELECTEDFINANCIALINFORMATIONANDOTHERDATA">
              <w:r>
                <w:rPr>
                  <w:rStyle w:val="InternetLink"/>
                  <w:rFonts w:ascii="Times New Roman;Times;serif" w:hAnsi="Times New Roman;Times;serif"/>
                  <w:b w:val="false"/>
                  <w:i w:val="false"/>
                  <w:caps w:val="false"/>
                  <w:smallCaps w:val="false"/>
                  <w:sz w:val="20"/>
                </w:rPr>
                <w:t>SELECTED FINANCIAL INFORMATION AND OTHER DATA</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444" w:type="dxa"/>
            <w:tcBorders/>
            <w:vAlign w:val="center"/>
          </w:tcPr>
          <w:p>
            <w:pPr>
              <w:pStyle w:val="TableContents"/>
              <w:bidi w:val="0"/>
              <w:spacing w:lineRule="auto" w:line="285" w:before="0" w:after="20"/>
              <w:ind w:left="0" w:right="0" w:hanging="0"/>
              <w:jc w:val="left"/>
              <w:rPr/>
            </w:pPr>
            <w:hyperlink w:anchor="RISKFACTORS_658759">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SPECIALNOTEREGARDINGFORWARDLOOKINGSTATEM">
              <w:r>
                <w:rPr>
                  <w:rStyle w:val="InternetLink"/>
                  <w:rFonts w:ascii="Times New Roman;Times;serif" w:hAnsi="Times New Roman;Times;serif"/>
                  <w:b w:val="false"/>
                  <w:i w:val="false"/>
                  <w:caps w:val="false"/>
                  <w:smallCaps w:val="false"/>
                  <w:sz w:val="20"/>
                </w:rPr>
                <w:t>SPECIAL NOTE REGARDING FORWARD-LOOKING STATEMENTS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444" w:type="dxa"/>
            <w:tcBorders/>
            <w:vAlign w:val="center"/>
          </w:tcPr>
          <w:p>
            <w:pPr>
              <w:pStyle w:val="TableContents"/>
              <w:bidi w:val="0"/>
              <w:spacing w:lineRule="auto" w:line="285" w:before="0" w:after="20"/>
              <w:ind w:left="0" w:right="0" w:hanging="0"/>
              <w:jc w:val="left"/>
              <w:rPr/>
            </w:pPr>
            <w:hyperlink w:anchor="USEOFPROCEEDS_588465">
              <w:r>
                <w:rPr>
                  <w:rStyle w:val="InternetLink"/>
                  <w:rFonts w:ascii="Times New Roman;Times;serif" w:hAnsi="Times New Roman;Times;serif"/>
                  <w:b w:val="false"/>
                  <w:i w:val="false"/>
                  <w:caps w:val="false"/>
                  <w:smallCaps w:val="false"/>
                  <w:sz w:val="20"/>
                </w:rPr>
                <w:t>USE OF PROCEEDS</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PRICERANGEOFCOMMONSTOCKANDDISTRIBUTIONS_">
              <w:r>
                <w:rPr>
                  <w:rStyle w:val="InternetLink"/>
                  <w:rFonts w:ascii="Times New Roman;Times;serif" w:hAnsi="Times New Roman;Times;serif"/>
                  <w:b w:val="false"/>
                  <w:i w:val="false"/>
                  <w:caps w:val="false"/>
                  <w:smallCaps w:val="false"/>
                  <w:sz w:val="20"/>
                </w:rPr>
                <w:t>PRICE RANGE OF COMMON STOCK AND DISTRIBUTIONS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444" w:type="dxa"/>
            <w:tcBorders/>
            <w:vAlign w:val="center"/>
          </w:tcPr>
          <w:p>
            <w:pPr>
              <w:pStyle w:val="TableContents"/>
              <w:bidi w:val="0"/>
              <w:spacing w:lineRule="auto" w:line="285" w:before="0" w:after="20"/>
              <w:ind w:left="0" w:right="0" w:hanging="0"/>
              <w:jc w:val="left"/>
              <w:rPr/>
            </w:pPr>
            <w:hyperlink w:anchor="MANAGEMENTSDISCUSSIONANDANALYSISOFFINANC">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BUSINESS_283682">
              <w:r>
                <w:rPr>
                  <w:rStyle w:val="InternetLink"/>
                  <w:rFonts w:ascii="Times New Roman;Times;serif" w:hAnsi="Times New Roman;Times;serif"/>
                  <w:b w:val="false"/>
                  <w:i w:val="false"/>
                  <w:caps w:val="false"/>
                  <w:smallCaps w:val="false"/>
                  <w:sz w:val="20"/>
                </w:rPr>
                <w:t>BUSINESS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444" w:type="dxa"/>
            <w:tcBorders/>
            <w:vAlign w:val="center"/>
          </w:tcPr>
          <w:p>
            <w:pPr>
              <w:pStyle w:val="TableContents"/>
              <w:bidi w:val="0"/>
              <w:spacing w:lineRule="auto" w:line="285" w:before="0" w:after="20"/>
              <w:ind w:left="0" w:right="0" w:hanging="0"/>
              <w:jc w:val="left"/>
              <w:rPr/>
            </w:pPr>
            <w:hyperlink w:anchor="SENIORSECURITIES_884033">
              <w:r>
                <w:rPr>
                  <w:rStyle w:val="InternetLink"/>
                  <w:rFonts w:ascii="Times New Roman;Times;serif" w:hAnsi="Times New Roman;Times;serif"/>
                  <w:b w:val="false"/>
                  <w:i w:val="false"/>
                  <w:caps w:val="false"/>
                  <w:smallCaps w:val="false"/>
                  <w:sz w:val="20"/>
                </w:rPr>
                <w:t>SENIOR SECURITIES</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PORTFOLIOCOMPANIES_318382">
              <w:r>
                <w:rPr>
                  <w:rStyle w:val="InternetLink"/>
                  <w:rFonts w:ascii="Times New Roman;Times;serif" w:hAnsi="Times New Roman;Times;serif"/>
                  <w:b w:val="false"/>
                  <w:i w:val="false"/>
                  <w:caps w:val="false"/>
                  <w:smallCaps w:val="false"/>
                  <w:sz w:val="20"/>
                </w:rPr>
                <w:t>PORTFOLIO COMPANIES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444" w:type="dxa"/>
            <w:tcBorders/>
            <w:vAlign w:val="center"/>
          </w:tcPr>
          <w:p>
            <w:pPr>
              <w:pStyle w:val="TableContents"/>
              <w:bidi w:val="0"/>
              <w:spacing w:lineRule="auto" w:line="285" w:before="0" w:after="20"/>
              <w:ind w:left="0" w:right="0" w:hanging="0"/>
              <w:jc w:val="left"/>
              <w:rPr/>
            </w:pPr>
            <w:hyperlink w:anchor="MANAGEMENT_796802">
              <w:r>
                <w:rPr>
                  <w:rStyle w:val="InternetLink"/>
                  <w:rFonts w:ascii="Times New Roman;Times;serif" w:hAnsi="Times New Roman;Times;serif"/>
                  <w:b w:val="false"/>
                  <w:i w:val="false"/>
                  <w:caps w:val="false"/>
                  <w:smallCaps w:val="false"/>
                  <w:sz w:val="20"/>
                </w:rPr>
                <w:t>MANAGEMENT</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MANAGEMENTANDOTHERAGREEMENTS_309250">
              <w:r>
                <w:rPr>
                  <w:rStyle w:val="InternetLink"/>
                  <w:rFonts w:ascii="Times New Roman;Times;serif" w:hAnsi="Times New Roman;Times;serif"/>
                  <w:b w:val="false"/>
                  <w:i w:val="false"/>
                  <w:caps w:val="false"/>
                  <w:smallCaps w:val="false"/>
                  <w:sz w:val="20"/>
                </w:rPr>
                <w:t>MANAGEMENT AND OTHER AGREEMENTS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444" w:type="dxa"/>
            <w:tcBorders/>
            <w:vAlign w:val="center"/>
          </w:tcPr>
          <w:p>
            <w:pPr>
              <w:pStyle w:val="TableContents"/>
              <w:bidi w:val="0"/>
              <w:spacing w:lineRule="auto" w:line="285" w:before="0" w:after="20"/>
              <w:ind w:left="0" w:right="0" w:hanging="0"/>
              <w:jc w:val="left"/>
              <w:rPr/>
            </w:pPr>
            <w:hyperlink w:anchor="RELATEDPARTYTRANSACTIONSANDCERTAINRELATI">
              <w:r>
                <w:rPr>
                  <w:rStyle w:val="InternetLink"/>
                  <w:rFonts w:ascii="Times New Roman;Times;serif" w:hAnsi="Times New Roman;Times;serif"/>
                  <w:b w:val="false"/>
                  <w:i w:val="false"/>
                  <w:caps w:val="false"/>
                  <w:smallCaps w:val="false"/>
                  <w:sz w:val="20"/>
                </w:rPr>
                <w:t>RELATED-PARTY TRANSACTIONS AND CERTAIN RELATIONSHIPS</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CONTROLPERSONSANDPRINCIPALSHAREHOLDERS_6">
              <w:r>
                <w:rPr>
                  <w:rStyle w:val="InternetLink"/>
                  <w:rFonts w:ascii="Times New Roman;Times;serif" w:hAnsi="Times New Roman;Times;serif"/>
                  <w:b w:val="false"/>
                  <w:i w:val="false"/>
                  <w:caps w:val="false"/>
                  <w:smallCaps w:val="false"/>
                  <w:sz w:val="20"/>
                </w:rPr>
                <w:t>CONTROL PERSONS AND PRINCIPAL SHAREHOLDERS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444" w:type="dxa"/>
            <w:tcBorders/>
            <w:vAlign w:val="center"/>
          </w:tcPr>
          <w:p>
            <w:pPr>
              <w:pStyle w:val="TableContents"/>
              <w:bidi w:val="0"/>
              <w:spacing w:lineRule="auto" w:line="285" w:before="0" w:after="20"/>
              <w:ind w:left="0" w:right="0" w:hanging="0"/>
              <w:jc w:val="left"/>
              <w:rPr/>
            </w:pPr>
            <w:hyperlink w:anchor="DETERMINATIONOFNETASSETVALUE_837708">
              <w:r>
                <w:rPr>
                  <w:rStyle w:val="InternetLink"/>
                  <w:rFonts w:ascii="Times New Roman;Times;serif" w:hAnsi="Times New Roman;Times;serif"/>
                  <w:b w:val="false"/>
                  <w:i w:val="false"/>
                  <w:caps w:val="false"/>
                  <w:smallCaps w:val="false"/>
                  <w:sz w:val="20"/>
                </w:rPr>
                <w:t>DETERMINATION OF NET ASSET VALUE</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DIVIDENDREINVESTMENTPLAN_250695">
              <w:r>
                <w:rPr>
                  <w:rStyle w:val="InternetLink"/>
                  <w:rFonts w:ascii="Times New Roman;Times;serif" w:hAnsi="Times New Roman;Times;serif"/>
                  <w:b w:val="false"/>
                  <w:i w:val="false"/>
                  <w:caps w:val="false"/>
                  <w:smallCaps w:val="false"/>
                  <w:sz w:val="20"/>
                </w:rPr>
                <w:t>DIVIDEND REINVESTMENT PLAN</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444" w:type="dxa"/>
            <w:tcBorders/>
            <w:vAlign w:val="center"/>
          </w:tcPr>
          <w:p>
            <w:pPr>
              <w:pStyle w:val="TableContents"/>
              <w:bidi w:val="0"/>
              <w:spacing w:lineRule="auto" w:line="285" w:before="0" w:after="20"/>
              <w:ind w:left="0" w:right="0" w:hanging="0"/>
              <w:jc w:val="left"/>
              <w:rPr/>
            </w:pPr>
            <w:hyperlink w:anchor="CERTAINUSFEDERALINCOMETAXCONSIDERATIONS_">
              <w:r>
                <w:rPr>
                  <w:rStyle w:val="InternetLink"/>
                  <w:rFonts w:ascii="Times New Roman;Times;serif" w:hAnsi="Times New Roman;Times;serif"/>
                  <w:b w:val="false"/>
                  <w:i w:val="false"/>
                  <w:caps w:val="false"/>
                  <w:smallCaps w:val="false"/>
                  <w:sz w:val="20"/>
                </w:rPr>
                <w:t>CERTAIN U.S. FEDERAL INCOME TAX CONSIDERATIONS</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DESCRIPTIONOFOURSECURITIES_489296">
              <w:r>
                <w:rPr>
                  <w:rStyle w:val="InternetLink"/>
                  <w:rFonts w:ascii="Times New Roman;Times;serif" w:hAnsi="Times New Roman;Times;serif"/>
                  <w:b w:val="false"/>
                  <w:i w:val="false"/>
                  <w:caps w:val="false"/>
                  <w:smallCaps w:val="false"/>
                  <w:sz w:val="20"/>
                </w:rPr>
                <w:t>DESCRIPTION OF OUR SECURITIES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444" w:type="dxa"/>
            <w:tcBorders/>
            <w:vAlign w:val="center"/>
          </w:tcPr>
          <w:p>
            <w:pPr>
              <w:pStyle w:val="TableContents"/>
              <w:bidi w:val="0"/>
              <w:spacing w:lineRule="auto" w:line="285" w:before="0" w:after="20"/>
              <w:ind w:left="0" w:right="0" w:hanging="0"/>
              <w:jc w:val="left"/>
              <w:rPr/>
            </w:pPr>
            <w:hyperlink w:anchor="DESCRIPTIONOFOURCAPITALSTOCK_353374">
              <w:r>
                <w:rPr>
                  <w:rStyle w:val="InternetLink"/>
                  <w:rFonts w:ascii="Times New Roman;Times;serif" w:hAnsi="Times New Roman;Times;serif"/>
                  <w:b w:val="false"/>
                  <w:i w:val="false"/>
                  <w:caps w:val="false"/>
                  <w:smallCaps w:val="false"/>
                  <w:sz w:val="20"/>
                </w:rPr>
                <w:t>DESCRIPTION OF OUR CAPITAL STOCK</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444" w:type="dxa"/>
            <w:tcBorders/>
            <w:shd w:fill="CCEEFF" w:val="clear"/>
            <w:vAlign w:val="center"/>
          </w:tcPr>
          <w:p>
            <w:pPr>
              <w:pStyle w:val="TableContents"/>
              <w:bidi w:val="0"/>
              <w:spacing w:lineRule="auto" w:line="285" w:before="0" w:after="20"/>
              <w:ind w:left="0" w:right="0" w:hanging="0"/>
              <w:jc w:val="left"/>
              <w:rPr/>
            </w:pPr>
            <w:hyperlink w:anchor="DESCRIPTIONOFOURPREFERREDSTOCK_414964">
              <w:r>
                <w:rPr>
                  <w:rStyle w:val="InternetLink"/>
                  <w:rFonts w:ascii="Times New Roman;Times;serif" w:hAnsi="Times New Roman;Times;serif"/>
                  <w:b w:val="false"/>
                  <w:i w:val="false"/>
                  <w:caps w:val="false"/>
                  <w:smallCaps w:val="false"/>
                  <w:sz w:val="20"/>
                </w:rPr>
                <w:t>DESCRIPTION OF OUR PREFERRED STOCK</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9444" w:type="dxa"/>
            <w:tcBorders/>
            <w:vAlign w:val="center"/>
          </w:tcPr>
          <w:p>
            <w:pPr>
              <w:pStyle w:val="TableContents"/>
              <w:bidi w:val="0"/>
              <w:spacing w:lineRule="auto" w:line="285" w:before="0" w:after="20"/>
              <w:ind w:left="0" w:right="0" w:hanging="0"/>
              <w:jc w:val="left"/>
              <w:rPr/>
            </w:pPr>
            <w:hyperlink w:anchor="DESCRIPTIONOFOURSUBSCRIPTIONRIGHTS_66141">
              <w:r>
                <w:rPr>
                  <w:rStyle w:val="InternetLink"/>
                  <w:rFonts w:ascii="Times New Roman;Times;serif" w:hAnsi="Times New Roman;Times;serif"/>
                  <w:b w:val="false"/>
                  <w:i w:val="false"/>
                  <w:caps w:val="false"/>
                  <w:smallCaps w:val="false"/>
                  <w:sz w:val="20"/>
                </w:rPr>
                <w:t>DESCRIPTION OF OUR SUBSCRIPTION RIGHTS</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S-i</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082" w:type="dxa"/>
        <w:jc w:val="left"/>
        <w:tblInd w:w="200" w:type="dxa"/>
        <w:tblLayout w:type="fixed"/>
        <w:tblCellMar>
          <w:top w:w="0" w:type="dxa"/>
          <w:left w:w="0" w:type="dxa"/>
          <w:bottom w:w="0" w:type="dxa"/>
          <w:right w:w="0" w:type="dxa"/>
        </w:tblCellMar>
      </w:tblPr>
      <w:tblGrid>
        <w:gridCol w:w="6721"/>
        <w:gridCol w:w="361"/>
      </w:tblGrid>
      <w:tr>
        <w:trPr/>
        <w:tc>
          <w:tcPr>
            <w:tcW w:w="67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67835" cy="29210"/>
                      <wp:effectExtent l="0" t="0" r="0" b="0"/>
                      <wp:wrapNone/>
                      <wp:docPr id="5" name="Frame5"/>
                      <a:graphic xmlns:a="http://schemas.openxmlformats.org/drawingml/2006/main">
                        <a:graphicData uri="http://schemas.microsoft.com/office/word/2010/wordprocessingShape">
                          <wps:wsp>
                            <wps:cNvSpPr txBox="1"/>
                            <wps:spPr>
                              <a:xfrm>
                                <a:off x="0" y="0"/>
                                <a:ext cx="4267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9235" cy="29210"/>
                      <wp:effectExtent l="0" t="0" r="0" b="0"/>
                      <wp:wrapNone/>
                      <wp:docPr id="6" name="Frame6"/>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721" w:type="dxa"/>
            <w:tcBorders/>
            <w:shd w:fill="CCEEFF" w:val="clear"/>
            <w:vAlign w:val="center"/>
          </w:tcPr>
          <w:p>
            <w:pPr>
              <w:pStyle w:val="TableContents"/>
              <w:bidi w:val="0"/>
              <w:spacing w:lineRule="auto" w:line="285" w:before="0" w:after="20"/>
              <w:ind w:left="0" w:right="0" w:hanging="0"/>
              <w:jc w:val="left"/>
              <w:rPr/>
            </w:pPr>
            <w:hyperlink w:anchor="DESCRIPTIONOFOURWARRANTS_440594">
              <w:r>
                <w:rPr>
                  <w:rStyle w:val="InternetLink"/>
                  <w:rFonts w:ascii="Times New Roman;Times;serif" w:hAnsi="Times New Roman;Times;serif"/>
                  <w:b w:val="false"/>
                  <w:i w:val="false"/>
                  <w:caps w:val="false"/>
                  <w:smallCaps w:val="false"/>
                  <w:sz w:val="20"/>
                </w:rPr>
                <w:t>DESCRIPTION OF OUR WARRANTS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6721" w:type="dxa"/>
            <w:tcBorders/>
            <w:vAlign w:val="center"/>
          </w:tcPr>
          <w:p>
            <w:pPr>
              <w:pStyle w:val="TableContents"/>
              <w:bidi w:val="0"/>
              <w:spacing w:lineRule="auto" w:line="285" w:before="0" w:after="20"/>
              <w:ind w:left="0" w:right="0" w:hanging="0"/>
              <w:jc w:val="left"/>
              <w:rPr/>
            </w:pPr>
            <w:hyperlink w:anchor="DESCRIPTIONOFOURDEBTSECURITIES_292288">
              <w:r>
                <w:rPr>
                  <w:rStyle w:val="InternetLink"/>
                  <w:rFonts w:ascii="Times New Roman;Times;serif" w:hAnsi="Times New Roman;Times;serif"/>
                  <w:b w:val="false"/>
                  <w:i w:val="false"/>
                  <w:caps w:val="false"/>
                  <w:smallCaps w:val="false"/>
                  <w:sz w:val="20"/>
                </w:rPr>
                <w:t>DESCRIPTION OF OUR DEBT SECURITIES</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6721" w:type="dxa"/>
            <w:tcBorders/>
            <w:shd w:fill="CCEEFF" w:val="clear"/>
            <w:vAlign w:val="center"/>
          </w:tcPr>
          <w:p>
            <w:pPr>
              <w:pStyle w:val="TableContents"/>
              <w:bidi w:val="0"/>
              <w:spacing w:lineRule="auto" w:line="285" w:before="0" w:after="20"/>
              <w:ind w:left="0" w:right="0" w:hanging="0"/>
              <w:jc w:val="left"/>
              <w:rPr/>
            </w:pPr>
            <w:hyperlink w:anchor="REGULATION_247825">
              <w:r>
                <w:rPr>
                  <w:rStyle w:val="InternetLink"/>
                  <w:rFonts w:ascii="Times New Roman;Times;serif" w:hAnsi="Times New Roman;Times;serif"/>
                  <w:b w:val="false"/>
                  <w:i w:val="false"/>
                  <w:caps w:val="false"/>
                  <w:smallCaps w:val="false"/>
                  <w:sz w:val="20"/>
                </w:rPr>
                <w:t>REGULATION</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6721" w:type="dxa"/>
            <w:tcBorders/>
            <w:vAlign w:val="center"/>
          </w:tcPr>
          <w:p>
            <w:pPr>
              <w:pStyle w:val="TableContents"/>
              <w:bidi w:val="0"/>
              <w:spacing w:lineRule="auto" w:line="285" w:before="0" w:after="20"/>
              <w:ind w:left="0" w:right="0" w:hanging="0"/>
              <w:jc w:val="left"/>
              <w:rPr/>
            </w:pPr>
            <w:hyperlink w:anchor="PLANOFDISTRIBUTION_693318">
              <w:r>
                <w:rPr>
                  <w:rStyle w:val="InternetLink"/>
                  <w:rFonts w:ascii="Times New Roman;Times;serif" w:hAnsi="Times New Roman;Times;serif"/>
                  <w:b w:val="false"/>
                  <w:i w:val="false"/>
                  <w:caps w:val="false"/>
                  <w:smallCaps w:val="false"/>
                  <w:sz w:val="20"/>
                </w:rPr>
                <w:t>PLAN OF DISTRIBUTION</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6721" w:type="dxa"/>
            <w:tcBorders/>
            <w:shd w:fill="CCEEFF" w:val="clear"/>
            <w:vAlign w:val="center"/>
          </w:tcPr>
          <w:p>
            <w:pPr>
              <w:pStyle w:val="TableContents"/>
              <w:bidi w:val="0"/>
              <w:spacing w:lineRule="auto" w:line="285" w:before="0" w:after="20"/>
              <w:ind w:left="0" w:right="0" w:hanging="0"/>
              <w:jc w:val="left"/>
              <w:rPr/>
            </w:pPr>
            <w:hyperlink w:anchor="CUSTODIANTRANSFERANDDIVIDENDPAYINGAGENTA">
              <w:r>
                <w:rPr>
                  <w:rStyle w:val="InternetLink"/>
                  <w:rFonts w:ascii="Times New Roman;Times;serif" w:hAnsi="Times New Roman;Times;serif"/>
                  <w:b w:val="false"/>
                  <w:i w:val="false"/>
                  <w:caps w:val="false"/>
                  <w:smallCaps w:val="false"/>
                  <w:sz w:val="20"/>
                </w:rPr>
                <w:t>CUSTODIAN, TRANSFER AND DIVIDEND PAYING AGENT AND REGISTRAR</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6721" w:type="dxa"/>
            <w:tcBorders/>
            <w:vAlign w:val="center"/>
          </w:tcPr>
          <w:p>
            <w:pPr>
              <w:pStyle w:val="TableContents"/>
              <w:bidi w:val="0"/>
              <w:spacing w:lineRule="auto" w:line="285" w:before="0" w:after="20"/>
              <w:ind w:left="0" w:right="0" w:hanging="0"/>
              <w:jc w:val="left"/>
              <w:rPr/>
            </w:pPr>
            <w:hyperlink w:anchor="BROKERAGEALLOCATIONANDOTHERPRACTICES_509">
              <w:r>
                <w:rPr>
                  <w:rStyle w:val="InternetLink"/>
                  <w:rFonts w:ascii="Times New Roman;Times;serif" w:hAnsi="Times New Roman;Times;serif"/>
                  <w:b w:val="false"/>
                  <w:i w:val="false"/>
                  <w:caps w:val="false"/>
                  <w:smallCaps w:val="false"/>
                  <w:sz w:val="20"/>
                </w:rPr>
                <w:t>BROKERAGE ALLOCATION AND OTHER PRACTICES</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6721" w:type="dxa"/>
            <w:tcBorders/>
            <w:shd w:fill="CCEEFF" w:val="clear"/>
            <w:vAlign w:val="center"/>
          </w:tcPr>
          <w:p>
            <w:pPr>
              <w:pStyle w:val="TableContents"/>
              <w:bidi w:val="0"/>
              <w:spacing w:lineRule="auto" w:line="285" w:before="0" w:after="20"/>
              <w:ind w:left="0" w:right="0" w:hanging="0"/>
              <w:jc w:val="left"/>
              <w:rPr/>
            </w:pPr>
            <w:hyperlink w:anchor="LEGALMATTERS_296006">
              <w:r>
                <w:rPr>
                  <w:rStyle w:val="InternetLink"/>
                  <w:rFonts w:ascii="Times New Roman;Times;serif" w:hAnsi="Times New Roman;Times;serif"/>
                  <w:b w:val="false"/>
                  <w:i w:val="false"/>
                  <w:caps w:val="false"/>
                  <w:smallCaps w:val="false"/>
                  <w:sz w:val="20"/>
                </w:rPr>
                <w:t>LEGAL MATTERS</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6721" w:type="dxa"/>
            <w:tcBorders/>
            <w:vAlign w:val="center"/>
          </w:tcPr>
          <w:p>
            <w:pPr>
              <w:pStyle w:val="TableContents"/>
              <w:bidi w:val="0"/>
              <w:spacing w:lineRule="auto" w:line="285" w:before="0" w:after="20"/>
              <w:ind w:left="0" w:right="0" w:hanging="0"/>
              <w:jc w:val="left"/>
              <w:rPr/>
            </w:pPr>
            <w:hyperlink w:anchor="INDEPENDENTREGISTEREDPUBLICACCOUNTINGFIR">
              <w:r>
                <w:rPr>
                  <w:rStyle w:val="InternetLink"/>
                  <w:rFonts w:ascii="Times New Roman;Times;serif" w:hAnsi="Times New Roman;Times;serif"/>
                  <w:b w:val="false"/>
                  <w:i w:val="false"/>
                  <w:caps w:val="false"/>
                  <w:smallCaps w:val="false"/>
                  <w:sz w:val="20"/>
                </w:rPr>
                <w:t>INDEPENDENT REGISTERED PUBLIC ACCOUNTING FIRM</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6721" w:type="dxa"/>
            <w:tcBorders/>
            <w:shd w:fill="CCEEFF" w:val="clear"/>
            <w:vAlign w:val="center"/>
          </w:tcPr>
          <w:p>
            <w:pPr>
              <w:pStyle w:val="TableContents"/>
              <w:bidi w:val="0"/>
              <w:spacing w:lineRule="auto" w:line="285" w:before="0" w:after="20"/>
              <w:ind w:left="0" w:right="0" w:hanging="0"/>
              <w:jc w:val="left"/>
              <w:rPr/>
            </w:pPr>
            <w:hyperlink w:anchor="AVAILABLEINFORMATION_984735">
              <w:r>
                <w:rPr>
                  <w:rStyle w:val="InternetLink"/>
                  <w:rFonts w:ascii="Times New Roman;Times;serif" w:hAnsi="Times New Roman;Times;serif"/>
                  <w:b w:val="false"/>
                  <w:i w:val="false"/>
                  <w:caps w:val="false"/>
                  <w:smallCaps w:val="false"/>
                  <w:sz w:val="20"/>
                </w:rPr>
                <w:t>AVAILABLE INFORMATION</w:t>
              </w:r>
            </w:hyperlink>
          </w:p>
        </w:tc>
        <w:tc>
          <w:tcPr>
            <w:tcW w:w="361" w:type="dxa"/>
            <w:tcBorders/>
            <w:shd w:fill="CCEEFF" w:val="clear"/>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6721" w:type="dxa"/>
            <w:tcBorders/>
            <w:vAlign w:val="center"/>
          </w:tcPr>
          <w:p>
            <w:pPr>
              <w:pStyle w:val="TableContents"/>
              <w:bidi w:val="0"/>
              <w:spacing w:lineRule="auto" w:line="285" w:before="0" w:after="20"/>
              <w:ind w:left="0" w:right="0" w:hanging="0"/>
              <w:jc w:val="left"/>
              <w:rPr/>
            </w:pPr>
            <w:hyperlink w:anchor="INCORPORATIONOFCERTAININFORMATIONBYREFER">
              <w:r>
                <w:rPr>
                  <w:rStyle w:val="InternetLink"/>
                  <w:rFonts w:ascii="Times New Roman;Times;serif" w:hAnsi="Times New Roman;Times;serif"/>
                  <w:b w:val="false"/>
                  <w:i w:val="false"/>
                  <w:caps w:val="false"/>
                  <w:smallCaps w:val="false"/>
                  <w:sz w:val="20"/>
                </w:rPr>
                <w:t>INCORPORATION OF CERTAIN INFORMATION BY REFERENCE</w:t>
              </w:r>
            </w:hyperlink>
          </w:p>
        </w:tc>
        <w:tc>
          <w:tcPr>
            <w:tcW w:w="361" w:type="dxa"/>
            <w:tcBorders/>
            <w:vAlign w:val="center"/>
          </w:tcPr>
          <w:p>
            <w:pPr>
              <w:pStyle w:val="TableContents"/>
              <w:bidi w:val="0"/>
              <w:spacing w:lineRule="auto" w:line="285" w:before="0" w:after="2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6721" w:type="dxa"/>
            <w:tcBorders/>
            <w:shd w:fill="CCEEFF" w:val="clear"/>
            <w:vAlign w:val="center"/>
          </w:tcPr>
          <w:p>
            <w:pPr>
              <w:pStyle w:val="TableContents"/>
              <w:bidi w:val="0"/>
              <w:spacing w:lineRule="auto" w:line="285" w:before="0" w:after="20"/>
              <w:ind w:left="0" w:right="0" w:hanging="0"/>
              <w:jc w:val="left"/>
              <w:rPr/>
            </w:pPr>
            <w:hyperlink w:anchor="RUNWAYGROWTHFINANCECORP_520561">
              <w:r>
                <w:rPr>
                  <w:rStyle w:val="InternetLink"/>
                  <w:rFonts w:ascii="Times New Roman;Times;serif" w:hAnsi="Times New Roman;Times;serif"/>
                  <w:b w:val="false"/>
                  <w:i w:val="false"/>
                  <w:caps w:val="false"/>
                  <w:smallCaps w:val="false"/>
                  <w:sz w:val="20"/>
                </w:rPr>
                <w:t>RUNWAY GROWTH FINANCE CORP.</w:t>
              </w:r>
            </w:hyperlink>
          </w:p>
        </w:tc>
        <w:tc>
          <w:tcPr>
            <w:tcW w:w="361" w:type="dxa"/>
            <w:tcBorders/>
            <w:shd w:fill="CCEEFF" w:val="clear"/>
            <w:vAlign w:val="center"/>
          </w:tcPr>
          <w:p>
            <w:pPr>
              <w:pStyle w:val="TableContents"/>
              <w:bidi w:val="0"/>
              <w:spacing w:lineRule="auto" w:line="328" w:before="0" w:after="160"/>
              <w:ind w:left="0" w:right="0" w:hanging="0"/>
              <w:jc w:val="right"/>
              <w:rPr/>
            </w:pPr>
            <w:r>
              <w:rPr/>
              <w:t>​</w:t>
            </w:r>
          </w:p>
        </w:tc>
      </w:tr>
    </w:tbl>
    <w:p>
      <w:pPr>
        <w:pStyle w:val="TextBody"/>
        <w:bidi w:val="0"/>
        <w:spacing w:lineRule="auto" w:line="328" w:before="0" w:after="160"/>
        <w:ind w:left="200" w:right="200" w:hanging="0"/>
        <w:jc w:val="left"/>
        <w:rPr/>
      </w:pPr>
      <w:r>
        <w:rPr/>
        <w:t>​</w:t>
      </w:r>
    </w:p>
    <w:p>
      <w:pPr>
        <w:pStyle w:val="TextBody"/>
        <w:bidi w:val="0"/>
        <w:spacing w:lineRule="auto" w:line="328" w:before="0" w:after="160"/>
        <w:ind w:left="200" w:right="200" w:hanging="0"/>
        <w:jc w:val="left"/>
        <w:rPr/>
      </w:pPr>
      <w:r>
        <w:rPr/>
        <w:t>​</w:t>
      </w:r>
    </w:p>
    <w:p>
      <w:pPr>
        <w:pStyle w:val="TextBody"/>
        <w:bidi w:val="0"/>
        <w:spacing w:lineRule="auto" w:line="328" w:before="0" w:after="160"/>
        <w:ind w:left="200" w:right="200" w:hanging="0"/>
        <w:jc w:val="left"/>
        <w:rPr/>
      </w:pPr>
      <w:r>
        <w:rPr/>
        <w:t>​</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S-ii</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840" w:right="840" w:hanging="0"/>
        <w:jc w:val="center"/>
        <w:rPr>
          <w:rFonts w:ascii="Times New Roman;Times;serif" w:hAnsi="Times New Roman;Times;serif"/>
          <w:b/>
          <w:color w:val="231F20"/>
          <w:sz w:val="20"/>
          <w:bdr w:val="single" w:sz="2" w:space="4" w:color="000000"/>
        </w:rPr>
      </w:pPr>
      <w:bookmarkStart w:id="6" w:name="PROSPECTUSSUPPLEMENT_135418"/>
      <w:bookmarkStart w:id="7" w:name="_877b711d_b071_4119_990d_7a614c46ac21"/>
      <w:bookmarkEnd w:id="6"/>
      <w:bookmarkEnd w:id="7"/>
      <w:r>
        <w:rPr>
          <w:rFonts w:ascii="Times New Roman;Times;serif" w:hAnsi="Times New Roman;Times;serif"/>
          <w:b/>
          <w:color w:val="231F20"/>
          <w:sz w:val="20"/>
          <w:bdr w:val="single" w:sz="2" w:space="4" w:color="000000"/>
        </w:rPr>
        <w:t>PROSPECTUS SUPPLEMENT SUMMARY</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i/>
          <w:color w:val="231F20"/>
          <w:sz w:val="20"/>
          <w:bdr w:val="single" w:sz="2" w:space="4" w:color="000000"/>
        </w:rPr>
        <w:t>The following summary highlights some of the information included elsewhere, or incorporated by reference, in this prospectus supplement or the accompanying prospectus. It is not complete and may not contain all the information that you may want to consider before making any investment decision regarding the Notes offered hereby. To understand the terms of the Notes offered hereby before making any investment decision, you should carefully read this entire prospectus supplement and the accompanying prospectus, including the documents incorporated by reference herein or therein, and any free writing prospectus related to the offering of Notes, including “Supplementary Risk Factors,” “Risk Factors,” “Available Information,” “Incorporation by Reference,” and “Use of Proceeds” and the financial statements contained elsewhere or incorporated by reference in this prospectus supplement and the accompanying prospectus. Together, these documents describe the specific terms of the Notes we are offering. Throughout this prospectus we refer to Runway Growth Finance Corp. as “we,” “us,” “our” or the “Company,” and to “Runway Growth Capital LLC,” our investment adviser, as “Runway Growth Capital” or the “Adviser” or “RGC</w:t>
      </w:r>
      <w:r>
        <w:rPr>
          <w:rFonts w:ascii="Times New Roman;Times;serif" w:hAnsi="Times New Roman;Times;serif"/>
          <w:color w:val="231F20"/>
          <w:sz w:val="20"/>
          <w:bdr w:val="single" w:sz="2" w:space="4" w:color="000000"/>
        </w:rPr>
        <w:t>.</w:t>
      </w:r>
      <w:r>
        <w:rPr>
          <w:rFonts w:ascii="Aptos" w:hAnsi="Aptos"/>
          <w:color w:val="231F20"/>
          <w:sz w:val="20"/>
          <w:bdr w:val="single" w:sz="2" w:space="4" w:color="000000"/>
        </w:rPr>
        <w:t>”</w:t>
      </w:r>
    </w:p>
    <w:p>
      <w:pPr>
        <w:pStyle w:val="TextBody"/>
        <w:bidi w:val="0"/>
        <w:spacing w:lineRule="auto" w:line="285"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Runway Growth Finance Corp.</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We are managed by Runway Growth Capital, an experienced provider of growth financing for dynamic, late- and growth-stage companies. As of March 31, 2026, we had an investment portfolio of $886.3 million at fair value, and a net asset value of $438.2 million.</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are structured as an externally managed, non-diversified closed-end management investment company that has elected to be regulated as a business development company (“BDC”) under the Investment Company Act of 1940, as amended (the “1940 Act”). We have also elected to be treated, and intend to qualify annually, as a regulated investment company (“RIC”) under subchapter M of the Internal Revenue Code of 1986, as amended (the “Code”), for U.S. federal income tax purposes. See “Material United States Federal Income Tax Consequences.”</w:t>
      </w:r>
    </w:p>
    <w:p>
      <w:pPr>
        <w:pStyle w:val="TextBody"/>
        <w:bidi w:val="0"/>
        <w:spacing w:lineRule="auto" w:line="285"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Our Adviser</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are externally managed by RGC. RGC was formed in 2015 to pursue an investment strategy focused on providing growth financing for dynamic, late- and growth-stage companies. David Spreng, Chief Executive Officer and President, formed RGC following a more than 25-year career in venture capital investing and lending. RGC has 26 employees across three offices in the United States, including 14 investment professionals focused on origination, underwriting, and managing our investment portfolio. RGC consistently demonstrates a credit-first culture while maintaining what they believe is an admirable reputation among borrowers for industry knowledge, creativity, and understanding of the challenges often faced by late- and growth-stage companies.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In January 2025, RGC was acquired by a private investment fund advised by BC Partners Advisors L.P. (“BC Partners Credit”) and Mount Logan Capital Inc. (“MLCI”), an affiliate of BC Partners Credit.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the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w:t>
      </w:r>
    </w:p>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S-1</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color w:val="231F20"/>
          <w:sz w:val="20"/>
          <w:bdr w:val="single" w:sz="2" w:space="4" w:color="000000"/>
        </w:rPr>
        <w:t>RGC is registered as an investment adviser with the U.S. Securities and Exchange Commission (the “SEC”) under the Investment Advisers Act of 1940, as amended (together with the rules and regulations promulgated thereunder, the “Advisers Act”). Subject to the overall supervision of our board of directors (the “Board”), our Adviser manages our day-to-day operations and provides us with investment advisory services pursuant to the third amended and restated investment advisory agreement, dated January 30, 2025 (the “Advisory Agreement”). Pursuant to the Advisory Agreement, we pay RGC a fee for its investment advisory and management services consisting of two components: a base management fee and an incentive fee. The cost of the base management fee and incentive fee are each borne by our stockholders. For more information, see “</w:t>
      </w:r>
      <w:r>
        <w:rPr>
          <w:rFonts w:ascii="Times New Roman;Times;serif" w:hAnsi="Times New Roman;Times;serif"/>
          <w:i/>
          <w:color w:val="231F20"/>
          <w:sz w:val="20"/>
          <w:bdr w:val="single" w:sz="2" w:space="4" w:color="000000"/>
        </w:rPr>
        <w:t>Management and Other Agreements</w:t>
      </w:r>
      <w:r>
        <w:rPr>
          <w:rFonts w:ascii="Aptos" w:hAnsi="Aptos"/>
          <w:color w:val="231F20"/>
          <w:sz w:val="20"/>
          <w:bdr w:val="single" w:sz="2" w:space="4" w:color="000000"/>
        </w:rPr>
        <w:t xml:space="preserve">” </w:t>
      </w:r>
      <w:r>
        <w:rPr>
          <w:rFonts w:ascii="Times New Roman;Times;serif" w:hAnsi="Times New Roman;Times;serif"/>
          <w:color w:val="231F20"/>
          <w:sz w:val="20"/>
          <w:bdr w:val="single" w:sz="2" w:space="4" w:color="000000"/>
        </w:rPr>
        <w:t>in the accompanying Prospectus.</w:t>
      </w:r>
    </w:p>
    <w:p>
      <w:pPr>
        <w:pStyle w:val="TextBody"/>
        <w:bidi w:val="0"/>
        <w:spacing w:lineRule="auto" w:line="285"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Our Portfolio</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As of March 31, 2026, we had investments in 56 companies, representing 23 companies in which we held a combination of debt and equity investments, nine companies in which we held debt investments only, 23 companies in which we held equity investments only, and one company in which we held equity interests only. As of March 31, 2026, our debt investment portfolio had an aggregate fair value of approximately $829.6 million and our equity portfolio had an aggregate fair value of approximately $56.7 million.</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As of March 31, 2026, approximately $822.9 million, or 99.2%, of our debt investment portfolio at fair value consisted of first lien senior secured loans, and approximately $6.7 million, or 0.8%, of our debt investment portfolio at fair value consisted of second lien senior secured loans. The debt investments in our portfolio are generally not rated by any rating agency. If the individual debt investments in our portfolio were rated, they would generally be rated below “investment grade.” Securities rated below investment grade are often referred to as “high yield” securities and “junk bonds,” and are considered “high risk” and speculative in nature compared to debt instruments that are rated investment grade.</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As of March 31, 2026, we had a total of $179.2 million in unfunded commitments, which was comprised of $156.3 million to provide debt financing to our portfolio companies and $22.8 million in unfunded commitments to provide equity financing to Runway-Cadma I LLC, a joint venture entity established with Cadma Capital Partners LLC, pursuant to a joint venture agreement dated March 6, 2024. We believe that our available cash balances and availability under our Credit Agreement with KeyBank National Association (as amended, the “Credit Facility”) provide sufficient funds to cover our unfunded commitments as of March 31, 2026.</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For the three months ended March 31, 2026, our debt investment portfolio had a dollar-weighted annualized yield of 14.2%.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March 31, 2026, our debt investments had a dollar-weighted average term of 53 months at origination and a dollar-weighted average remaining term of 29 months, or approximately 2.4 years. As of March 31, 2026, substantially all of our debt investments had a committed principal amount of between $2.0 million and $68.5 million and pay cash interest at annual interest rates of between 6.3% and 14.7%.</w:t>
      </w:r>
    </w:p>
    <w:p>
      <w:pPr>
        <w:pStyle w:val="TextBody"/>
        <w:bidi w:val="0"/>
        <w:spacing w:lineRule="auto" w:line="285" w:before="0" w:after="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The following table shows our dollar-weighted annualized yield by investment type for the three months ended March 31, 2026 and 2025:</w:t>
      </w:r>
    </w:p>
    <w:p>
      <w:pPr>
        <w:pStyle w:val="TextBody"/>
        <w:bidi w:val="0"/>
        <w:spacing w:lineRule="auto" w:line="328" w:before="0" w:after="160"/>
        <w:ind w:left="840" w:right="840" w:hanging="0"/>
        <w:jc w:val="left"/>
        <w:rPr>
          <w:bdr w:val="single" w:sz="2" w:space="4" w:color="000000"/>
        </w:rPr>
      </w:pPr>
      <w:r>
        <w:rPr>
          <w:bdr w:val="single" w:sz="2" w:space="4" w:color="000000"/>
        </w:rPr>
        <w:t>​</w:t>
      </w:r>
    </w:p>
    <w:tbl>
      <w:tblPr>
        <w:tblW w:w="5781" w:type="dxa"/>
        <w:jc w:val="left"/>
        <w:tblInd w:w="840" w:type="dxa"/>
        <w:tblLayout w:type="fixed"/>
        <w:tblCellMar>
          <w:top w:w="0" w:type="dxa"/>
          <w:left w:w="0" w:type="dxa"/>
          <w:bottom w:w="0" w:type="dxa"/>
          <w:right w:w="0" w:type="dxa"/>
        </w:tblCellMar>
      </w:tblPr>
      <w:tblGrid>
        <w:gridCol w:w="1546"/>
        <w:gridCol w:w="346"/>
        <w:gridCol w:w="610"/>
        <w:gridCol w:w="385"/>
        <w:gridCol w:w="611"/>
        <w:gridCol w:w="361"/>
        <w:gridCol w:w="610"/>
        <w:gridCol w:w="385"/>
        <w:gridCol w:w="611"/>
        <w:gridCol w:w="316"/>
      </w:tblGrid>
      <w:tr>
        <w:trPr/>
        <w:tc>
          <w:tcPr>
            <w:tcW w:w="15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54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606" w:type="dxa"/>
            <w:gridSpan w:val="3"/>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Fair Value</w:t>
            </w:r>
            <w:r>
              <w:rPr>
                <w:rFonts w:ascii="Times New Roman;Times;serif" w:hAnsi="Times New Roman;Times;serif"/>
                <w:b/>
                <w:sz w:val="12"/>
              </w:rPr>
              <w:t>(1)</w:t>
            </w:r>
          </w:p>
        </w:tc>
        <w:tc>
          <w:tcPr>
            <w:tcW w:w="3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606" w:type="dxa"/>
            <w:gridSpan w:val="3"/>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Cost</w:t>
            </w:r>
            <w:r>
              <w:rPr>
                <w:rFonts w:ascii="Times New Roman;Times;serif" w:hAnsi="Times New Roman;Times;serif"/>
                <w:b/>
                <w:sz w:val="12"/>
              </w:rPr>
              <w:t>(2)</w:t>
            </w:r>
          </w:p>
        </w:tc>
        <w:tc>
          <w:tcPr>
            <w:tcW w:w="3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r>
      <w:tr>
        <w:trPr/>
        <w:tc>
          <w:tcPr>
            <w:tcW w:w="154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606" w:type="dxa"/>
            <w:gridSpan w:val="3"/>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lineRule="auto" w:line="328" w:before="0" w:after="160"/>
              <w:ind w:left="0" w:right="0" w:hanging="0"/>
              <w:jc w:val="left"/>
              <w:rPr/>
            </w:pPr>
            <w:r>
              <w:rPr/>
              <w:t>​</w:t>
            </w:r>
          </w:p>
        </w:tc>
        <w:tc>
          <w:tcPr>
            <w:tcW w:w="1606" w:type="dxa"/>
            <w:gridSpan w:val="3"/>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16" w:type="dxa"/>
            <w:tcBorders/>
            <w:vAlign w:val="center"/>
          </w:tcPr>
          <w:p>
            <w:pPr>
              <w:pStyle w:val="TableContents"/>
              <w:bidi w:val="0"/>
              <w:spacing w:lineRule="auto" w:line="328" w:before="0" w:after="160"/>
              <w:ind w:left="0" w:right="0" w:hanging="0"/>
              <w:jc w:val="left"/>
              <w:rPr/>
            </w:pPr>
            <w:r>
              <w:rPr/>
              <w:t>​</w:t>
            </w:r>
          </w:p>
        </w:tc>
      </w:tr>
      <w:tr>
        <w:trPr/>
        <w:tc>
          <w:tcPr>
            <w:tcW w:w="154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606"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61"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606"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1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r>
      <w:tr>
        <w:trPr/>
        <w:tc>
          <w:tcPr>
            <w:tcW w:w="154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6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2026</w:t>
            </w:r>
          </w:p>
        </w:tc>
        <w:tc>
          <w:tcPr>
            <w:tcW w:w="38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 ​ ​</w:t>
            </w:r>
          </w:p>
        </w:tc>
        <w:tc>
          <w:tcPr>
            <w:tcW w:w="6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2025</w:t>
            </w:r>
          </w:p>
        </w:tc>
        <w:tc>
          <w:tcPr>
            <w:tcW w:w="3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610"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2026</w:t>
            </w:r>
          </w:p>
        </w:tc>
        <w:tc>
          <w:tcPr>
            <w:tcW w:w="38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 ​ ​</w:t>
            </w:r>
          </w:p>
        </w:tc>
        <w:tc>
          <w:tcPr>
            <w:tcW w:w="61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2025</w:t>
            </w:r>
          </w:p>
        </w:tc>
        <w:tc>
          <w:tcPr>
            <w:tcW w:w="31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spacing w:val="-4"/>
              </w:rPr>
            </w:pPr>
            <w:r>
              <w:rPr>
                <w:spacing w:val="-4"/>
              </w:rPr>
              <w:t>​</w:t>
            </w:r>
          </w:p>
        </w:tc>
      </w:tr>
      <w:tr>
        <w:trPr/>
        <w:tc>
          <w:tcPr>
            <w:tcW w:w="1546"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Investment type: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10"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85" w:type="dxa"/>
            <w:tcBorders/>
            <w:shd w:fill="CCEEFF" w:val="clear"/>
            <w:vAlign w:val="center"/>
          </w:tcPr>
          <w:p>
            <w:pPr>
              <w:pStyle w:val="TableContents"/>
              <w:bidi w:val="0"/>
              <w:spacing w:lineRule="auto" w:line="328" w:before="0" w:after="160"/>
              <w:ind w:left="0" w:right="0" w:hanging="0"/>
              <w:jc w:val="left"/>
              <w:rPr/>
            </w:pPr>
            <w:r>
              <w:rPr/>
              <w:t>​</w:t>
            </w:r>
          </w:p>
        </w:tc>
        <w:tc>
          <w:tcPr>
            <w:tcW w:w="61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61" w:type="dxa"/>
            <w:tcBorders/>
            <w:shd w:fill="CCEEFF" w:val="clear"/>
            <w:vAlign w:val="center"/>
          </w:tcPr>
          <w:p>
            <w:pPr>
              <w:pStyle w:val="TableContents"/>
              <w:bidi w:val="0"/>
              <w:spacing w:lineRule="auto" w:line="328" w:before="0" w:after="160"/>
              <w:ind w:left="0" w:right="0" w:hanging="0"/>
              <w:jc w:val="left"/>
              <w:rPr/>
            </w:pPr>
            <w:r>
              <w:rPr/>
              <w:t>​</w:t>
            </w:r>
          </w:p>
        </w:tc>
        <w:tc>
          <w:tcPr>
            <w:tcW w:w="610"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85" w:type="dxa"/>
            <w:tcBorders/>
            <w:shd w:fill="CCEEFF" w:val="clear"/>
            <w:vAlign w:val="center"/>
          </w:tcPr>
          <w:p>
            <w:pPr>
              <w:pStyle w:val="TableContents"/>
              <w:bidi w:val="0"/>
              <w:spacing w:lineRule="auto" w:line="328" w:before="0" w:after="160"/>
              <w:ind w:left="0" w:right="0" w:hanging="0"/>
              <w:jc w:val="left"/>
              <w:rPr/>
            </w:pPr>
            <w:r>
              <w:rPr/>
              <w:t>​</w:t>
            </w:r>
          </w:p>
        </w:tc>
        <w:tc>
          <w:tcPr>
            <w:tcW w:w="61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16" w:type="dxa"/>
            <w:tcBorders/>
            <w:shd w:fill="CCEEFF" w:val="clear"/>
            <w:vAlign w:val="center"/>
          </w:tcPr>
          <w:p>
            <w:pPr>
              <w:pStyle w:val="TableContents"/>
              <w:bidi w:val="0"/>
              <w:spacing w:lineRule="auto" w:line="328" w:before="0" w:after="160"/>
              <w:ind w:left="0" w:right="0" w:hanging="0"/>
              <w:jc w:val="left"/>
              <w:rPr/>
            </w:pPr>
            <w:r>
              <w:rPr/>
              <w:t>​</w:t>
            </w:r>
          </w:p>
        </w:tc>
      </w:tr>
      <w:tr>
        <w:trPr/>
        <w:tc>
          <w:tcPr>
            <w:tcW w:w="1546"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Debt</w:t>
            </w:r>
            <w:r>
              <w:rPr>
                <w:rFonts w:ascii="Aptos" w:hAnsi="Aptos"/>
                <w:spacing w:val="-3"/>
                <w:sz w:val="20"/>
              </w:rPr>
              <w:t xml:space="preserve"> </w:t>
            </w:r>
            <w:r>
              <w:rPr>
                <w:rFonts w:ascii="Times New Roman;Times;serif" w:hAnsi="Times New Roman;Times;serif"/>
                <w:sz w:val="20"/>
              </w:rPr>
              <w:t>investments</w:t>
            </w:r>
          </w:p>
        </w:tc>
        <w:tc>
          <w:tcPr>
            <w:tcW w:w="346" w:type="dxa"/>
            <w:tcBorders/>
            <w:vAlign w:val="center"/>
          </w:tcPr>
          <w:p>
            <w:pPr>
              <w:pStyle w:val="TableContents"/>
              <w:bidi w:val="0"/>
              <w:spacing w:lineRule="auto" w:line="328" w:before="0" w:after="160"/>
              <w:ind w:left="0" w:right="0" w:hanging="0"/>
              <w:jc w:val="left"/>
              <w:rPr/>
            </w:pPr>
            <w:r>
              <w:rPr/>
              <w:t>​</w:t>
            </w:r>
          </w:p>
        </w:tc>
        <w:tc>
          <w:tcPr>
            <w:tcW w:w="61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3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3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3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3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46"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Equity interest</w:t>
            </w:r>
          </w:p>
        </w:tc>
        <w:tc>
          <w:tcPr>
            <w:tcW w:w="346"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61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4.84</w:t>
            </w:r>
          </w:p>
        </w:tc>
        <w:tc>
          <w:tcPr>
            <w:tcW w:w="3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6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1.85</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61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3.40</w:t>
            </w:r>
          </w:p>
        </w:tc>
        <w:tc>
          <w:tcPr>
            <w:tcW w:w="3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6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1.46</w:t>
            </w:r>
          </w:p>
        </w:tc>
        <w:tc>
          <w:tcPr>
            <w:tcW w:w="3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w:t>
            </w:r>
          </w:p>
        </w:tc>
      </w:tr>
      <w:tr>
        <w:trPr/>
        <w:tc>
          <w:tcPr>
            <w:tcW w:w="1546"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All</w:t>
            </w:r>
            <w:r>
              <w:rPr>
                <w:rFonts w:ascii="Aptos" w:hAnsi="Aptos"/>
                <w:spacing w:val="-3"/>
                <w:sz w:val="20"/>
              </w:rPr>
              <w:t xml:space="preserve"> </w:t>
            </w:r>
            <w:r>
              <w:rPr>
                <w:rFonts w:ascii="Times New Roman;Times;serif" w:hAnsi="Times New Roman;Times;serif"/>
                <w:sz w:val="20"/>
              </w:rPr>
              <w:t>investments</w:t>
            </w:r>
          </w:p>
        </w:tc>
        <w:tc>
          <w:tcPr>
            <w:tcW w:w="346" w:type="dxa"/>
            <w:tcBorders/>
            <w:vAlign w:val="center"/>
          </w:tcPr>
          <w:p>
            <w:pPr>
              <w:pStyle w:val="TableContents"/>
              <w:bidi w:val="0"/>
              <w:spacing w:lineRule="auto" w:line="328" w:before="0" w:after="160"/>
              <w:ind w:left="0" w:right="0" w:hanging="0"/>
              <w:jc w:val="left"/>
              <w:rPr/>
            </w:pPr>
            <w:r>
              <w:rPr/>
              <w:t>​</w:t>
            </w:r>
          </w:p>
        </w:tc>
        <w:tc>
          <w:tcPr>
            <w:tcW w:w="61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3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14.48</w:t>
            </w:r>
          </w:p>
        </w:tc>
        <w:tc>
          <w:tcPr>
            <w:tcW w:w="3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12.73</w:t>
            </w:r>
          </w:p>
        </w:tc>
        <w:tc>
          <w:tcPr>
            <w:tcW w:w="3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13.97</w:t>
            </w:r>
          </w:p>
        </w:tc>
        <w:tc>
          <w:tcPr>
            <w:tcW w:w="3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8525" w:type="dxa"/>
        <w:jc w:val="left"/>
        <w:tblInd w:w="840" w:type="dxa"/>
        <w:tblLayout w:type="fixed"/>
        <w:tblCellMar>
          <w:top w:w="0" w:type="dxa"/>
          <w:left w:w="0" w:type="dxa"/>
          <w:bottom w:w="0" w:type="dxa"/>
          <w:right w:w="0" w:type="dxa"/>
        </w:tblCellMar>
      </w:tblPr>
      <w:tblGrid>
        <w:gridCol w:w="296"/>
        <w:gridCol w:w="8229"/>
      </w:tblGrid>
      <w:tr>
        <w:trPr/>
        <w:tc>
          <w:tcPr>
            <w:tcW w:w="296"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(1)</w:t>
            </w:r>
          </w:p>
        </w:tc>
        <w:tc>
          <w:tcPr>
            <w:tcW w:w="8229"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tc>
      </w:tr>
    </w:tbl>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S-2</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25" w:type="dxa"/>
        <w:jc w:val="left"/>
        <w:tblInd w:w="840" w:type="dxa"/>
        <w:tblLayout w:type="fixed"/>
        <w:tblCellMar>
          <w:top w:w="0" w:type="dxa"/>
          <w:left w:w="0" w:type="dxa"/>
          <w:bottom w:w="0" w:type="dxa"/>
          <w:right w:w="0" w:type="dxa"/>
        </w:tblCellMar>
      </w:tblPr>
      <w:tblGrid>
        <w:gridCol w:w="296"/>
        <w:gridCol w:w="8229"/>
      </w:tblGrid>
      <w:tr>
        <w:trPr/>
        <w:tc>
          <w:tcPr>
            <w:tcW w:w="296"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(2)</w:t>
            </w:r>
          </w:p>
        </w:tc>
        <w:tc>
          <w:tcPr>
            <w:tcW w:w="8229"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tc>
      </w:tr>
    </w:tbl>
    <w:p>
      <w:pPr>
        <w:pStyle w:val="TextBody"/>
        <w:bidi w:val="0"/>
        <w:spacing w:lineRule="auto" w:line="285"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Investment Strategy and Approach</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Our investment objective is to maximize our total return to our stockholders primarily through current income on our loan portfolio and secondarily through capital gains on our warrants and other equity positions. We invest in senior secured first lien loans and other senior debt obligations and may on occasion invest in senior secured second lien loans. We have and expect to continue to acquire warrants and other equity securities from portfolio companies in connection with our investments in loans to these companies.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focus on lending to high growth-potential companies in technology, healthcare, business services, financial services, select consumer services and products and other high-growth industries.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originate our investments through two strategies: Sponsored Growth Lending and Non-Sponsored Growth Lending. In addition to our core strategies of providing Sponsored Growth Lending and Non-Sponsored Growth Lending, we may also opportunistically participate in the secondary markets for investments that are consistent with our broader investment strategy.</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view acquisitions as a complement to, rather than a substitute for, organic growth. We remain committed to investing in our core business while simultaneously pursuing acquisitions that we believe will enhance our competitive position and our long-term growth.</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 adjusted return for the portfolio viewed as a whole. Borrowers tend to use the proceeds of our financings to invest in sales and marketing, expand capacity of the overall business or refinance existing debt. Certain of the loans in which we may invest or obtain exposure to through our investments may be deemed “covenant-lite” loans, which means the loans contain fewer or no maintenance covenants compared to other loans and do not include terms which allow the lender to monitor the performance of the borrower and declare a default if certain criteria are breached. See “Risk Factors — Risks Related to our Investments — We may be subject to risks associated with our investments in covenant-lite loans” in our most recent Annual Report on Form 10-K.</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i/>
          <w:color w:val="231F20"/>
          <w:sz w:val="20"/>
          <w:bdr w:val="single" w:sz="2" w:space="4" w:color="000000"/>
        </w:rPr>
        <w:t>Sponsored Growth Lending</w:t>
      </w:r>
      <w:r>
        <w:rPr>
          <w:rFonts w:ascii="Times New Roman;Times;serif" w:hAnsi="Times New Roman;Times;serif"/>
          <w:color w:val="231F20"/>
          <w:sz w:val="20"/>
          <w:bdr w:val="single" w:sz="2" w:space="4" w:color="000000"/>
        </w:rPr>
        <w:t>. Our Sponsored Growth Lending strategy generally includes loans to late- and growth-stage companies that are already backed by established venture capital and private equity firms. Our Sponsored Growth Lending strategy typically includes the receipt of warrants and/or other equity from these venture-backed companies.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provides us access to many high-quality companies backed by top-tier venture capital and private equity investors;</w:t>
            </w:r>
          </w:p>
        </w:tc>
      </w:tr>
    </w:tbl>
    <w:tbl>
      <w:tblPr>
        <w:tblW w:w="5751" w:type="dxa"/>
        <w:jc w:val="left"/>
        <w:tblInd w:w="84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delivers consistent returns through double-digit loan yields; and</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often offers us the ability to participate in equity upside of portfolio companies through the acquisition of warrants or success fees.</w:t>
            </w:r>
          </w:p>
        </w:tc>
      </w:tr>
    </w:tbl>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i/>
          <w:color w:val="231F20"/>
          <w:sz w:val="20"/>
          <w:bdr w:val="single" w:sz="2" w:space="4" w:color="000000"/>
        </w:rPr>
        <w:t>Non-Sponsored Growth Lending</w:t>
      </w:r>
      <w:r>
        <w:rPr>
          <w:rFonts w:ascii="Times New Roman;Times;serif" w:hAnsi="Times New Roman;Times;serif"/>
          <w:color w:val="231F20"/>
          <w:sz w:val="20"/>
          <w:bdr w:val="single" w:sz="2" w:space="4" w:color="000000"/>
        </w:rPr>
        <w:t>. Our Non-Sponsored Growth Lending strategy generally includes loans to late- and growth-stage, private companies that are funded directly by entrepreneurs and founders, or companies that no longer require institutional equity investment (which may selectively include publicly traded companies). We refer to these target borrowers as “non-sponsored growth companies.”</w:t>
      </w:r>
    </w:p>
    <w:p>
      <w:pPr>
        <w:pStyle w:val="TextBody"/>
        <w:bidi w:val="0"/>
        <w:spacing w:lineRule="auto" w:line="285" w:before="0" w:after="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 xml:space="preserve">Generally, financing available to these non-sponsored growth companies is predicated on the underlying value of the business’s assets in an orderly liquidation scenario and/or the entrepreneur’s own personal financial resources. These options frequently provide </w:t>
      </w:r>
    </w:p>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S-3</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840" w:right="840" w:hanging="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w:t>
      </w:r>
    </w:p>
    <w:p>
      <w:pPr>
        <w:pStyle w:val="TextBody"/>
        <w:bidi w:val="0"/>
        <w:spacing w:lineRule="auto" w:line="285"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Market Opportunity</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believe that the market environment is favorable for us to continue to pursue an investment strategy primarily focused on late-stage and high-growth companies in technology, healthcare, business services, financial services, and select consumer services and products in other high-growth industries.</w:t>
      </w:r>
    </w:p>
    <w:p>
      <w:pPr>
        <w:pStyle w:val="TextBody"/>
        <w:bidi w:val="0"/>
        <w:spacing w:lineRule="auto" w:line="285" w:before="0" w:after="240"/>
        <w:ind w:left="840" w:right="840" w:hanging="0"/>
        <w:jc w:val="left"/>
        <w:rPr>
          <w:rFonts w:ascii="Times New Roman;Times;serif" w:hAnsi="Times New Roman;Times;serif"/>
          <w:b/>
          <w:i/>
          <w:color w:val="231F20"/>
          <w:sz w:val="20"/>
          <w:bdr w:val="single" w:sz="2" w:space="4" w:color="000000"/>
        </w:rPr>
      </w:pPr>
      <w:r>
        <w:rPr>
          <w:rFonts w:ascii="Times New Roman;Times;serif" w:hAnsi="Times New Roman;Times;serif"/>
          <w:b/>
          <w:i/>
          <w:color w:val="231F20"/>
          <w:sz w:val="20"/>
          <w:bdr w:val="single" w:sz="2" w:space="4" w:color="000000"/>
        </w:rPr>
        <w:t>Focus on Innovative Companies Across a Variety of High-Growth Industries</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i/>
          <w:color w:val="231F20"/>
          <w:sz w:val="20"/>
          <w:bdr w:val="single" w:sz="2" w:space="4" w:color="000000"/>
        </w:rPr>
        <w:t>Diversified high growth-potential industries</w:t>
      </w:r>
      <w:r>
        <w:rPr>
          <w:rFonts w:ascii="Times New Roman;Times;serif" w:hAnsi="Times New Roman;Times;serif"/>
          <w:color w:val="231F20"/>
          <w:sz w:val="20"/>
          <w:bdr w:val="single" w:sz="2" w:space="4" w:color="000000"/>
        </w:rPr>
        <w:t>: We target companies active in industries that support high growth potential. Our Sponsored Growth Lending strategy is focused on the largest industry sectors where venture capital investors are active, primarily technology, healthcare, business services, financial services, 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w:t>
      </w:r>
    </w:p>
    <w:p>
      <w:pPr>
        <w:pStyle w:val="TextBody"/>
        <w:bidi w:val="0"/>
        <w:spacing w:lineRule="auto" w:line="285" w:before="0" w:after="240"/>
        <w:ind w:left="840" w:right="840" w:hanging="0"/>
        <w:jc w:val="left"/>
        <w:rPr>
          <w:rFonts w:ascii="Times New Roman;Times;serif" w:hAnsi="Times New Roman;Times;serif"/>
          <w:b/>
          <w:i/>
          <w:color w:val="231F20"/>
          <w:sz w:val="20"/>
          <w:bdr w:val="single" w:sz="2" w:space="4" w:color="000000"/>
        </w:rPr>
      </w:pPr>
      <w:r>
        <w:rPr>
          <w:rFonts w:ascii="Times New Roman;Times;serif" w:hAnsi="Times New Roman;Times;serif"/>
          <w:b/>
          <w:i/>
          <w:color w:val="231F20"/>
          <w:sz w:val="20"/>
          <w:bdr w:val="single" w:sz="2" w:space="4" w:color="000000"/>
        </w:rPr>
        <w:t>Sponsored and Non-Sponsored Growth Lending Represents an Attractive Source of Funding</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i/>
          <w:color w:val="231F20"/>
          <w:sz w:val="20"/>
          <w:bdr w:val="single" w:sz="2" w:space="4" w:color="000000"/>
        </w:rPr>
        <w:t>Sponsored Growth Lending</w:t>
      </w:r>
      <w:r>
        <w:rPr>
          <w:rFonts w:ascii="Times New Roman;Times;serif" w:hAnsi="Times New Roman;Times;serif"/>
          <w:color w:val="231F20"/>
          <w:sz w:val="20"/>
          <w:bdr w:val="single" w:sz="2" w:space="4" w:color="000000"/>
        </w:rPr>
        <w:t>: An attractive market opportunity exists for a lender that invests in secured loans to late- and growth-stage companies that have not yet achieved profitability, but oftentimes have sustainable cash flow positive operations. Sponsored Growth Lending provides an attractive source of funds for venture-backed companies, their management teams, and their equity capital investors, as it:</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is typically less dilutive and complements equity financing from venture capital and private equity funds;</w:t>
            </w:r>
          </w:p>
        </w:tc>
      </w:tr>
    </w:tbl>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often extends the time period during which a company can operate before seeking additional equity capital or pursuing a sale transaction or other liquidity event; and</w:t>
            </w:r>
          </w:p>
        </w:tc>
      </w:tr>
    </w:tbl>
    <w:tbl>
      <w:tblPr>
        <w:tblW w:w="5931" w:type="dxa"/>
        <w:jc w:val="left"/>
        <w:tblInd w:w="84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generally allows companies to better match cash sources with uses.</w:t>
            </w:r>
          </w:p>
        </w:tc>
      </w:tr>
    </w:tbl>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i/>
          <w:color w:val="231F20"/>
          <w:sz w:val="20"/>
          <w:bdr w:val="single" w:sz="2" w:space="4" w:color="000000"/>
        </w:rPr>
        <w:t>Non-Sponsored Growth Lending</w:t>
      </w:r>
      <w:r>
        <w:rPr>
          <w:rFonts w:ascii="Times New Roman;Times;serif" w:hAnsi="Times New Roman;Times;serif"/>
          <w:color w:val="231F20"/>
          <w:sz w:val="20"/>
          <w:bdr w:val="single" w:sz="2" w:space="4" w:color="000000"/>
        </w:rPr>
        <w:t>: An attractive market opportunity exists for a lender that invests in secured loans to late and growth 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w:t>
      </w:r>
    </w:p>
    <w:tbl>
      <w:tblPr>
        <w:tblW w:w="8525" w:type="dxa"/>
        <w:jc w:val="left"/>
        <w:tblInd w:w="840" w:type="dxa"/>
        <w:tblLayout w:type="fixed"/>
        <w:tblCellMar>
          <w:top w:w="28" w:type="dxa"/>
          <w:left w:w="28" w:type="dxa"/>
          <w:bottom w:w="28" w:type="dxa"/>
          <w:right w:w="28" w:type="dxa"/>
        </w:tblCellMar>
      </w:tblPr>
      <w:tblGrid>
        <w:gridCol w:w="124"/>
        <w:gridCol w:w="256"/>
        <w:gridCol w:w="814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access to growth capital without the requirement to take on institutional-size investments that may exceed the company’s capital requirements;</w:t>
            </w:r>
          </w:p>
        </w:tc>
      </w:tr>
    </w:tbl>
    <w:tbl>
      <w:tblPr>
        <w:tblW w:w="3231" w:type="dxa"/>
        <w:jc w:val="left"/>
        <w:tblInd w:w="84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tax deductible interest payments;</w:t>
            </w:r>
          </w:p>
        </w:tc>
      </w:tr>
    </w:tbl>
    <w:tbl>
      <w:tblPr>
        <w:tblW w:w="3771" w:type="dxa"/>
        <w:jc w:val="left"/>
        <w:tblInd w:w="84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significant operational involvement;</w:t>
            </w:r>
          </w:p>
        </w:tc>
      </w:tr>
    </w:tbl>
    <w:tbl>
      <w:tblPr>
        <w:tblW w:w="2451" w:type="dxa"/>
        <w:jc w:val="left"/>
        <w:tblInd w:w="84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personal guarantees;</w:t>
            </w:r>
          </w:p>
        </w:tc>
      </w:tr>
    </w:tbl>
    <w:tbl>
      <w:tblPr>
        <w:tblW w:w="3186" w:type="dxa"/>
        <w:jc w:val="left"/>
        <w:tblInd w:w="84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very modest dilution, if any; and</w:t>
            </w:r>
          </w:p>
        </w:tc>
      </w:tr>
    </w:tbl>
    <w:tbl>
      <w:tblPr>
        <w:tblW w:w="4671" w:type="dxa"/>
        <w:jc w:val="left"/>
        <w:tblInd w:w="84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loss of managerial control or forced redemption.</w:t>
            </w:r>
          </w:p>
        </w:tc>
      </w:tr>
    </w:tbl>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S-4</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840" w:right="840" w:hanging="0"/>
        <w:jc w:val="left"/>
        <w:rPr>
          <w:rFonts w:ascii="Times New Roman;Times;serif" w:hAnsi="Times New Roman;Times;serif"/>
          <w:b/>
          <w:i/>
          <w:color w:val="231F20"/>
          <w:sz w:val="20"/>
          <w:bdr w:val="single" w:sz="2" w:space="4" w:color="000000"/>
        </w:rPr>
      </w:pPr>
      <w:r>
        <w:rPr>
          <w:rFonts w:ascii="Times New Roman;Times;serif" w:hAnsi="Times New Roman;Times;serif"/>
          <w:b/>
          <w:i/>
          <w:color w:val="231F20"/>
          <w:sz w:val="20"/>
          <w:bdr w:val="single" w:sz="2" w:space="4" w:color="000000"/>
        </w:rPr>
        <w:t>Large and Growing Market for Debt Financing to Venture Capital-Backed Companies</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i/>
          <w:color w:val="231F20"/>
          <w:sz w:val="20"/>
          <w:bdr w:val="single" w:sz="2" w:space="4" w:color="000000"/>
        </w:rPr>
        <w:t xml:space="preserve">Healthy, stable venture environment: </w:t>
      </w:r>
      <w:r>
        <w:rPr>
          <w:rFonts w:ascii="Times New Roman;Times;serif" w:hAnsi="Times New Roman;Times;serif"/>
          <w:color w:val="231F20"/>
          <w:sz w:val="20"/>
          <w:bdr w:val="single" w:sz="2" w:space="4" w:color="000000"/>
        </w:rPr>
        <w:t>Approximately 14,716 companies received venture capital financing in 2025, according to the Pitchbook-NVCA Venture Monitor, a quarterly report published jointly by NVCA and Pitchbook on venture capital activity (“Pitchbook-NVCA”). Despite the broader economic challenges of 2025, we anticipate that the market for borrowers will gradually improve over the coming quarters. The venture debt lending market, as defined in the Q4 2025 Pitchbook-NVCA Venture Monitor, is estimated at $62.4 billion, or roughly 18.4% of total U.S. venture capital deal value.</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i/>
          <w:color w:val="231F20"/>
          <w:sz w:val="20"/>
          <w:bdr w:val="single" w:sz="2" w:space="4" w:color="000000"/>
        </w:rPr>
        <w:t xml:space="preserve">Growing pool of target companies: </w:t>
      </w:r>
      <w:r>
        <w:rPr>
          <w:rFonts w:ascii="Times New Roman;Times;serif" w:hAnsi="Times New Roman;Times;serif"/>
          <w:color w:val="231F20"/>
          <w:sz w:val="20"/>
          <w:bdr w:val="single" w:sz="2" w:space="4" w:color="000000"/>
        </w:rPr>
        <w:t>The time from initial venture capital investment to transaction exit of such investment, either by an initial public offering or merger and acquisition transaction, compressed slightly over the last couple of years, but increased slightly in 2025 to an average of 6.2 years. According to the Q4 2025 Pitchbook-NVCA Venture Monitor, in 2025, the median number of years from initial venture investment to initial public offering of a U.S. venture capital-backed company was 7.4 years, and the median number of years from initial venture investment to merger and acquisition transaction was 4.7 years. Exit transactions are a small proportion of companies financed by venture capital each year. As a result, the pool of target companies has grown larger with increased demand for private capital.</w:t>
      </w:r>
    </w:p>
    <w:p>
      <w:pPr>
        <w:pStyle w:val="TextBody"/>
        <w:bidi w:val="0"/>
        <w:spacing w:lineRule="auto" w:line="285" w:before="0" w:after="240"/>
        <w:ind w:left="840" w:right="840" w:hanging="0"/>
        <w:jc w:val="left"/>
        <w:rPr>
          <w:rFonts w:ascii="Times New Roman;Times;serif" w:hAnsi="Times New Roman;Times;serif"/>
          <w:b/>
          <w:i/>
          <w:color w:val="231F20"/>
          <w:sz w:val="20"/>
          <w:bdr w:val="single" w:sz="2" w:space="4" w:color="000000"/>
        </w:rPr>
      </w:pPr>
      <w:r>
        <w:rPr>
          <w:rFonts w:ascii="Times New Roman;Times;serif" w:hAnsi="Times New Roman;Times;serif"/>
          <w:b/>
          <w:i/>
          <w:color w:val="231F20"/>
          <w:sz w:val="20"/>
          <w:bdr w:val="single" w:sz="2" w:space="4" w:color="000000"/>
        </w:rPr>
        <w:t>Highly Fragmented, Underserved Market with High Barriers to Entry</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i/>
          <w:color w:val="231F20"/>
          <w:sz w:val="20"/>
          <w:bdr w:val="single" w:sz="2" w:space="4" w:color="000000"/>
        </w:rPr>
        <w:t>Unfulfilled demand and limited competition</w:t>
      </w:r>
      <w:r>
        <w:rPr>
          <w:rFonts w:ascii="Times New Roman;Times;serif" w:hAnsi="Times New Roman;Times;serif"/>
          <w:color w:val="231F20"/>
          <w:sz w:val="20"/>
          <w:bdr w:val="single" w:sz="2" w:space="4" w:color="000000"/>
        </w:rPr>
        <w:t>: 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w:t>
      </w:r>
    </w:p>
    <w:p>
      <w:pPr>
        <w:pStyle w:val="TextBody"/>
        <w:bidi w:val="0"/>
        <w:spacing w:lineRule="auto" w:line="285"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Competitive Advantages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believe we are well positioned to address the market for growth lending in a manner that will result in a competitive advantage over other established sponsored growth lenders. We believe our competitive strengths and key differentiators include:</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b/>
          <w:i/>
          <w:color w:val="231F20"/>
          <w:sz w:val="20"/>
          <w:bdr w:val="single" w:sz="2" w:space="4" w:color="000000"/>
        </w:rPr>
        <w:t xml:space="preserve">Experienced, Proven Management Team Supported by a Deep Bench of Dedicated Investment Professionals. </w:t>
      </w:r>
      <w:r>
        <w:rPr>
          <w:rFonts w:ascii="Times New Roman;Times;serif" w:hAnsi="Times New Roman;Times;serif"/>
          <w:color w:val="231F20"/>
          <w:sz w:val="20"/>
          <w:bdr w:val="single" w:sz="2" w:space="4" w:color="000000"/>
        </w:rPr>
        <w:t>RGC’s executive team, with an average of more than 35 years of experience, and our senior investment professionals, including origination and underwriting, with an average of 21 years of experience, have developed a disciplined and repeatable approach to investing and managing investments in high-growth potential businesses. We believe that the experience, relationships and disciplined investment and risk management processes of RGC’s investment professionals are a competitive advantage for us.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Our President and Chief Executive Officer, David Spreng, who is also the founder, Chief Executive Officer and Chief Investment Officer of RGC,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Chief Financial Officer, Chief Operating Officer, Treasurer and Secretary, Thomas Raterman, has more than 30 years of corporate finance, investment banking, private equity and financial executive management experience with rapidly growing entrepreneurial companies.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RGC has a broad team of professionals focused on every aspect of the investment lifecycle. RGC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 This team of experienced professionals is also complemented by our access to the teams of investment professionals at BC Partners Credit and across BC Partners LLP’s (“BC Partners”) integrated platform.</w:t>
      </w:r>
    </w:p>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S-5</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b/>
          <w:i/>
          <w:color w:val="231F20"/>
          <w:sz w:val="20"/>
          <w:bdr w:val="single" w:sz="2" w:space="4" w:color="000000"/>
        </w:rPr>
        <w:t xml:space="preserve">Access to BC Partners Credit Platform. </w:t>
      </w:r>
      <w:r>
        <w:rPr>
          <w:rFonts w:ascii="Times New Roman;Times;serif" w:hAnsi="Times New Roman;Times;serif"/>
          <w:color w:val="231F20"/>
          <w:sz w:val="20"/>
          <w:bdr w:val="single" w:sz="2" w:space="4" w:color="000000"/>
        </w:rPr>
        <w:t>We believe that access to BC Partners Credit and BC Partners’ credit investment platform (the “BC Partners Credit Platform”) provides us with a strong competitive advantage. The BC Partners Credit Platform functions as an integrated business within the BC Partners organization, utilizing and benefiting from BC Partners’ existing infrastructure and other platforms, including its private equity investment platform. We believe that the BC Partners Credit Platform is synergistic and complementary to our business and will enable us to leverage its deal flow and sector knowledge, creating attractive new investment opportunities. BC Partners Credit’s ability to leverage scale and enhance sourcing capabilities throughout the credit cycle is anticipated to be supported by the resources and expertise available to it from its integration within the broader BC Partners organization, which allows BC Partners Credit to leverage a team of investment professionals across BC Partners’ private equity and other platforms, including operations teams, to which we have access.</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b/>
          <w:i/>
          <w:color w:val="231F20"/>
          <w:sz w:val="20"/>
          <w:bdr w:val="single" w:sz="2" w:space="4" w:color="000000"/>
        </w:rPr>
        <w:t>Provide Capital to Robust, High-Growth Venture-backed Companies</w:t>
      </w:r>
      <w:r>
        <w:rPr>
          <w:rFonts w:ascii="Times New Roman;Times;serif" w:hAnsi="Times New Roman;Times;serif"/>
          <w:color w:val="231F20"/>
          <w:sz w:val="20"/>
          <w:bdr w:val="single" w:sz="2" w:space="4" w:color="000000"/>
        </w:rPr>
        <w:t>. We believe we are favorably positioned within the venture lending ecosystem, targeting primarily growth focused technology and healthcare companies. We believe the technology and healthcare industries are among the most attractive industries within the venture lending space, primarily representing large, addressable markets with strong and consistent growth. According to the Q1 2026 Pitchbook-NVCA Venture Monitor and Pitchbook-NVCA industry classifications, venture capital deal volume in the technology industry totaled approximately $295.0 billion in 2025, representing a 15.6% CAGR from 2015 to 2025. Venture capital deal volume in the life sciences industry totaled approximately $37.7 billion in 2025, representing a 9.2% CAGR from 2015 to 2025. We believe companies within these industries can often be characterized as having asset-light business models, attractive recurring revenue streams and strong growth trajectories.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invest across industries to diversify risk and deliver more stable returns. The investment professionals at RGC have extensive experience investing in the industries on which we focus, including technology, healthcare, business services, financial services, and select consumer services and products in other high- 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b/>
          <w:i/>
          <w:color w:val="231F20"/>
          <w:sz w:val="20"/>
          <w:bdr w:val="single" w:sz="2" w:space="4" w:color="000000"/>
        </w:rPr>
        <w:t>Robust, Disciplined Investment Process and Credit Analysis</w:t>
      </w:r>
      <w:r>
        <w:rPr>
          <w:rFonts w:ascii="Times New Roman;Times;serif" w:hAnsi="Times New Roman;Times;serif"/>
          <w:color w:val="231F20"/>
          <w:sz w:val="20"/>
          <w:bdr w:val="single" w:sz="2" w:space="4" w:color="000000"/>
        </w:rPr>
        <w:t>. RGC’s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believe the focused and disciplined approach that RGC applies to our lending strategy enables us to deliver strong, consistent returns to our investors. As of March 31, 2026, our debt portfolio is 99.2% first lien senior secured loans. Of our $3.3 billion total commitments since inception, our cumulative gross loss rate as a percentage of total commitments since inception is 0.88%, and our net losses as a percentage of total commitments since inception is 0.56%. At the point of origination, our current portfolio companies have raised on average $154.2 million of equity proceeds relative to our average commitment size of $32.8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w:t>
      </w:r>
    </w:p>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S-6</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b/>
          <w:i/>
          <w:color w:val="231F20"/>
          <w:sz w:val="20"/>
          <w:bdr w:val="single" w:sz="2" w:space="4" w:color="000000"/>
        </w:rPr>
        <w:t>Proprietary Risk Analytics and Return Optimization</w:t>
      </w:r>
      <w:r>
        <w:rPr>
          <w:rFonts w:ascii="Times New Roman;Times;serif" w:hAnsi="Times New Roman;Times;serif"/>
          <w:color w:val="231F20"/>
          <w:sz w:val="20"/>
          <w:bdr w:val="single" w:sz="2" w:space="4" w:color="000000"/>
        </w:rPr>
        <w:t>. Over the past 20 years, RGC’s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b/>
          <w:i/>
          <w:color w:val="231F20"/>
          <w:sz w:val="20"/>
          <w:bdr w:val="single" w:sz="2" w:space="4" w:color="000000"/>
        </w:rPr>
        <w:t>Flexible, Opportunity-Specific Pricing and Structure</w:t>
      </w:r>
      <w:r>
        <w:rPr>
          <w:rFonts w:ascii="Times New Roman;Times;serif" w:hAnsi="Times New Roman;Times;serif"/>
          <w:color w:val="231F20"/>
          <w:sz w:val="20"/>
          <w:bdr w:val="single" w:sz="2" w:space="4" w:color="000000"/>
        </w:rPr>
        <w:t>. RGC’s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but have been unable to access sufficient capital to fund current growth opportunities. We believe that gaining a comprehensive picture of an opportunity based on RGC’s defined assessment factors allows us to be more flexible, to identify price and structure inefficiencies in the debt market, better support our portfolio companies, and to maximize loan and warrant returns while minimizing losses. In our Sponsored Growth Lending and Non-Sponsored Growth Lending strategies, we target our loan to be less than 25% of enterprise value at inception.</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b/>
          <w:i/>
          <w:color w:val="231F20"/>
          <w:sz w:val="20"/>
          <w:bdr w:val="single" w:sz="2" w:space="4" w:color="000000"/>
        </w:rPr>
        <w:t>Strong Reputation and Deep Relationships</w:t>
      </w:r>
      <w:r>
        <w:rPr>
          <w:rFonts w:ascii="Times New Roman;Times;serif" w:hAnsi="Times New Roman;Times;serif"/>
          <w:color w:val="231F20"/>
          <w:sz w:val="20"/>
          <w:bdr w:val="single" w:sz="2" w:space="4" w:color="000000"/>
        </w:rPr>
        <w:t>. RGC’s senior investment professionals enjoy reputations as innovative thought leaders, ingrained in the fabric of the venture community. RGC’s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RGC’s senior investment professionals also have established a network of relationships over two decades with various venture capital firms, venture banks, institutional investors, entrepreneurs and other venture capital market participants, which has allowed RGC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w:t>
      </w:r>
    </w:p>
    <w:p>
      <w:pPr>
        <w:pStyle w:val="TextBody"/>
        <w:bidi w:val="0"/>
        <w:spacing w:lineRule="auto" w:line="285"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Company Information</w:t>
      </w:r>
    </w:p>
    <w:p>
      <w:pPr>
        <w:pStyle w:val="TextBody"/>
        <w:bidi w:val="0"/>
        <w:spacing w:lineRule="auto" w:line="285" w:before="0" w:after="240"/>
        <w:ind w:left="840" w:right="840" w:firstLine="360"/>
        <w:jc w:val="left"/>
        <w:rPr>
          <w:rFonts w:ascii="Aptos" w:hAnsi="Aptos"/>
          <w:sz w:val="20"/>
          <w:bdr w:val="single" w:sz="2" w:space="4" w:color="000000"/>
        </w:rPr>
      </w:pPr>
      <w:r>
        <w:rPr>
          <w:rFonts w:ascii="Times New Roman;Times;serif" w:hAnsi="Times New Roman;Times;serif"/>
          <w:color w:val="231F20"/>
          <w:sz w:val="20"/>
          <w:bdr w:val="single" w:sz="2" w:space="4" w:color="000000"/>
        </w:rPr>
        <w:t xml:space="preserve">Our corporate headquarters are located at 205 N. Michigan Ave., Suite 4200, Chicago, IL 60601, and our telephone number is (312) 698-6902. Our corporate website is located at </w:t>
      </w:r>
      <w:r>
        <w:rPr>
          <w:rFonts w:ascii="Times New Roman;Times;serif" w:hAnsi="Times New Roman;Times;serif"/>
          <w:i/>
          <w:color w:val="231F20"/>
          <w:sz w:val="20"/>
          <w:bdr w:val="single" w:sz="2" w:space="4" w:color="000000"/>
        </w:rPr>
        <w:t>https://investors.runwaygrowth.com</w:t>
      </w:r>
      <w:r>
        <w:rPr>
          <w:rFonts w:ascii="Times New Roman;Times;serif" w:hAnsi="Times New Roman;Times;serif"/>
          <w:color w:val="231F20"/>
          <w:sz w:val="20"/>
          <w:bdr w:val="single" w:sz="2" w:space="4" w:color="000000"/>
        </w:rPr>
        <w:t>. 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pStyle w:val="TextBody"/>
        <w:bidi w:val="0"/>
        <w:spacing w:lineRule="auto" w:line="285" w:before="0" w:after="240"/>
        <w:ind w:left="840" w:right="840" w:hanging="0"/>
        <w:jc w:val="left"/>
        <w:rPr>
          <w:rFonts w:ascii="Times New Roman;Times;serif" w:hAnsi="Times New Roman;Times;serif"/>
          <w:b/>
          <w:color w:val="231F20"/>
          <w:sz w:val="20"/>
          <w:bdr w:val="single" w:sz="2" w:space="4" w:color="000000"/>
        </w:rPr>
      </w:pPr>
      <w:r>
        <w:rPr>
          <w:rFonts w:ascii="Times New Roman;Times;serif" w:hAnsi="Times New Roman;Times;serif"/>
          <w:b/>
          <w:color w:val="231F20"/>
          <w:sz w:val="20"/>
          <w:bdr w:val="single" w:sz="2" w:space="4" w:color="000000"/>
        </w:rPr>
        <w:t>Recent Developments</w:t>
      </w:r>
    </w:p>
    <w:p>
      <w:pPr>
        <w:pStyle w:val="TextBody"/>
        <w:bidi w:val="0"/>
        <w:spacing w:lineRule="auto" w:line="285"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Distributions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On May 5, 2026, our Board of Directors declared a quarterly distribution of $0.33 per share for our stockholders of record as of May 18, 2026, payable on or before June 2, 2026.</w:t>
      </w:r>
    </w:p>
    <w:p>
      <w:pPr>
        <w:pStyle w:val="TextBody"/>
        <w:bidi w:val="0"/>
        <w:spacing w:lineRule="auto" w:line="285"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Recent Portfolio Activity</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From March 31, 2026 through May 22, 2026, we funded $56.4 million in unfunded commitments on existing investments.</w:t>
      </w:r>
    </w:p>
    <w:p>
      <w:pPr>
        <w:pStyle w:val="TextBody"/>
        <w:bidi w:val="0"/>
        <w:spacing w:lineRule="auto" w:line="285"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Repurchase Program</w:t>
      </w:r>
    </w:p>
    <w:p>
      <w:pPr>
        <w:pStyle w:val="TextBody"/>
        <w:bidi w:val="0"/>
        <w:spacing w:lineRule="auto" w:line="285" w:before="0" w:after="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 xml:space="preserve">On May 5, 2026, our Board of Directors approved a share repurchase program (the “New Repurchase Program”), under which we may repurchase up to $15.0 million of our outstanding shares of common stock. Under the New Repurchase Program, purchases may be made at management’s discretion from time to time in open-market transactions, in accordance with all applicable securities laws </w:t>
      </w:r>
    </w:p>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S-7</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840" w:right="840" w:hanging="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and regulations. If not renewed, the New Repurchase Program will terminate upon the earlier of (i) May 7, 2027 or (ii) the repurchase of $15.0 million of our outstanding shares of common stock.</w:t>
      </w:r>
    </w:p>
    <w:p>
      <w:pPr>
        <w:pStyle w:val="TextBody"/>
        <w:bidi w:val="0"/>
        <w:spacing w:lineRule="auto" w:line="285"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Retirement and Appointment of Certain Officers</w:t>
      </w:r>
    </w:p>
    <w:p>
      <w:pPr>
        <w:pStyle w:val="TextBody"/>
        <w:bidi w:val="0"/>
        <w:spacing w:lineRule="auto" w:line="285" w:before="0" w:after="240"/>
        <w:ind w:left="840" w:right="840" w:hanging="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The Company</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On May 5, 2026, Thomas B. Raterman notified our Board of Directors that he would retire from his positions as our Chief Operating Officer, Chief Financial Officer, Treasurer and Corporate Secretary effective as of the close of business on June 30, 2026, at which time he will become Vice Chairman of RGC. In that role, he will focus on strategic initiatives that include portfolio optimization, platform-level mergers and acquisitions, capital markets transactions, and capital formation. Mr. Raterman will also continue to serve as a member of the investment committee of RGC.</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On May 5, 2026, our Board of Directors elected Carmela Thomson to serve as our Chief Financial Officer, Treasurer and Corporate Secretary effective as of the close of business on June 30, 2026.</w:t>
      </w:r>
    </w:p>
    <w:p>
      <w:pPr>
        <w:pStyle w:val="TextBody"/>
        <w:bidi w:val="0"/>
        <w:spacing w:lineRule="auto" w:line="285" w:before="0" w:after="240"/>
        <w:ind w:left="840" w:right="840" w:hanging="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The Investment Adviser</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Effective as of April 6, 2026, David Spreng, our Chief Executive Officer and President, returned to his role as Chief Investment Officer of RGC in place of Greg Greifeld. Mr. Greifeld will depart from RGC effective as of May 31, 2026.</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In connection with the Merger (as defined below), John David Tamas became a managing director of healthcare and life sciences investing at RGC.</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Effective as of April 30, 2026, Avisha Khubani was promoted to Chief Credit Officer at RGC.</w:t>
      </w:r>
    </w:p>
    <w:p>
      <w:pPr>
        <w:pStyle w:val="TextBody"/>
        <w:bidi w:val="0"/>
        <w:spacing w:lineRule="auto" w:line="285" w:before="0" w:after="240"/>
        <w:ind w:left="840" w:right="840" w:hanging="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Master Note Purchase Agreement</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The Master Note Purchase Agreement, dated April 7, 2025, under which our April 2028 Notes (as defined herein) were issued, requires that if any of David Spreng, Thomas Raterman or Greg Greifeld ceases to be involved in our operations, we must, within 120 days, obtain a successor who is reasonably acceptable to the Required Holders (as defined therein). We are currently seeking acceptance by the Required Holders of Mr. Spreng as the successor and replacement for Mr. Greifeld, effective immediately, in connection with Mr. Greifeld’s departure from RGC effective as of May 31, 2026.</w:t>
      </w:r>
    </w:p>
    <w:p>
      <w:pPr>
        <w:pStyle w:val="TextBody"/>
        <w:bidi w:val="0"/>
        <w:spacing w:lineRule="auto" w:line="285"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SWK Acquisition</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On April 6, 2026, we completed our previously announced acquisition of SWK Holdings Corporation, a Delaware corporation (“SWK”), pursuant to that certain Agreement and Plan of Merger (the “Merger Agreement”), dated as of October 9, 2025, by and among us, SWK, RWAY Portfolio Holding Corp., a Delaware corporation and a direct wholly-owned subsidiary of ours (“Intermediary Sub”), RWAY Portfolio Corp., a Delaware corporation and a wholly-owned subsidiary of Intermediary Sub (“Acquisition Sub”) and RGC. Pursuant to the Merger Agreement, SWK first merged with and into Acquisition Sub, with Acquisition Sub as the surviving company (the “First Merger”). Following the effectiveness of the First Merger, Acquisition Sub merged with and into Intermediary Sub, with Intermediary Sub as the surviving company (the “Second Merger”). Following the effectiveness of the Second Merger, Intermediary Sub merged with and into us, with us as the surviving company (the “Third Merger” and, together with the First Merger and the Second Merger, the “Mergers”).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In accordance with the terms of the Merger Agreement, at the effective time of the First Merger, each outstanding share of common stock, par value $0.001 per share, of SWK (“SWK Common Stock”) was converted into the right to receive (i) either (A) 1.7264 shares of our common stock, par value $0.01 per share (“Company Common Stock”), or (B) $20.59 in cash (based on the election of the holder thereof in accordance with the terms of the Merger Agreement (and subject to the proration as provided therein)) plus (ii) $0.74 in cash, which represents a pro rata share of the guaranteed cash payment paid by the Adviser. As a result, we issued an aggregate of 6,330,509 shares of Company Common Stock to SWK’s former stockholders. No fractional shares were issued in the First Merger and the value of any fractional shares of Company Common Stock that a former holder of SWK Common Stock would otherwise be entitled to receive was paid in cash.</w:t>
      </w:r>
    </w:p>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S-8</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840" w:right="840" w:hanging="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Third Supplemental Indenture for the SWK 2027 Notes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On April 6, 2026, we entered into a third supplemental indenture (the “Third Supplemental Indenture”) by and between us and Wilmington Trust, National Association (the “SWK Notes Trustee”), effective as of the closing of the Merger. The Third Supplemental Indenture relates to our assumption of $33.0 million in aggregate principal amount of SWK’s 9.00% Senior Notes due 2027 (the “SWK 2027 Notes”).</w:t>
      </w:r>
    </w:p>
    <w:p>
      <w:pPr>
        <w:pStyle w:val="TextBody"/>
        <w:bidi w:val="0"/>
        <w:spacing w:lineRule="auto" w:line="285" w:before="0" w:after="240"/>
        <w:ind w:left="840" w:right="840" w:firstLine="360"/>
        <w:jc w:val="left"/>
        <w:rPr>
          <w:rFonts w:ascii="Times New Roman;Times;serif" w:hAnsi="Times New Roman;Times;serif"/>
          <w:color w:val="231F20"/>
          <w:sz w:val="20"/>
          <w:bdr w:val="single" w:sz="2" w:space="4" w:color="000000"/>
        </w:rPr>
      </w:pPr>
      <w:r>
        <w:rPr>
          <w:rFonts w:ascii="Times New Roman;Times;serif" w:hAnsi="Times New Roman;Times;serif"/>
          <w:color w:val="231F20"/>
          <w:sz w:val="20"/>
          <w:bdr w:val="single" w:sz="2" w:space="4" w:color="000000"/>
        </w:rPr>
        <w:t>Pursuant to the Third Supplemental Indenture, we expressly assumed the obligations of SWK for the due and punctual payment of the principal of, and premium, if any, and interest on all the SWK 2027 Notes, and the due and punctual performance and observance of all of the covenants and conditions of the indenture, dated October 3, 2023 (the “Base Indenture”), by and between SWK and the SWK Notes Trustee, as amended by the First Supplemental Indenture, dated as of October 3, 2023 and the Second Supplemental Indenture dated as of April 6, 2026.</w:t>
      </w:r>
    </w:p>
    <w:p>
      <w:pPr>
        <w:pStyle w:val="TextBody"/>
        <w:bidi w:val="0"/>
        <w:spacing w:lineRule="auto" w:line="328" w:before="0" w:after="160"/>
        <w:ind w:left="840" w:right="840" w:hanging="0"/>
        <w:jc w:val="left"/>
        <w:rPr>
          <w:bdr w:val="single" w:sz="2" w:space="4" w:color="000000"/>
        </w:rPr>
      </w:pPr>
      <w:r>
        <w:rPr>
          <w:bdr w:val="single" w:sz="2" w:space="4" w:color="000000"/>
        </w:rPr>
        <w:t>​</w:t>
      </w:r>
    </w:p>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S-9</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840" w:right="840" w:hanging="0"/>
        <w:jc w:val="center"/>
        <w:rPr>
          <w:rFonts w:ascii="Times New Roman;Times;serif" w:hAnsi="Times New Roman;Times;serif"/>
          <w:b/>
          <w:color w:val="231F20"/>
          <w:sz w:val="20"/>
          <w:bdr w:val="single" w:sz="2" w:space="4" w:color="000000"/>
        </w:rPr>
      </w:pPr>
      <w:bookmarkStart w:id="8" w:name="THEOFFERING_344489"/>
      <w:bookmarkStart w:id="9" w:name="_35bc19ff_1f47_460a_afc8_cc727035d417"/>
      <w:bookmarkEnd w:id="8"/>
      <w:bookmarkEnd w:id="9"/>
      <w:r>
        <w:rPr>
          <w:rFonts w:ascii="Times New Roman;Times;serif" w:hAnsi="Times New Roman;Times;serif"/>
          <w:b/>
          <w:color w:val="231F20"/>
          <w:sz w:val="20"/>
          <w:bdr w:val="single" w:sz="2" w:space="4" w:color="000000"/>
        </w:rPr>
        <w:t>THE OFFERING</w:t>
      </w:r>
    </w:p>
    <w:p>
      <w:pPr>
        <w:pStyle w:val="TextBody"/>
        <w:bidi w:val="0"/>
        <w:spacing w:lineRule="auto" w:line="285" w:before="0" w:after="240"/>
        <w:ind w:left="840" w:right="840" w:firstLine="360"/>
        <w:jc w:val="left"/>
        <w:rPr>
          <w:rFonts w:ascii="Times New Roman;Times;serif" w:hAnsi="Times New Roman;Times;serif"/>
          <w:i/>
          <w:color w:val="231F20"/>
          <w:sz w:val="20"/>
          <w:bdr w:val="single" w:sz="2" w:space="4" w:color="000000"/>
        </w:rPr>
      </w:pPr>
      <w:r>
        <w:rPr>
          <w:rFonts w:ascii="Times New Roman;Times;serif" w:hAnsi="Times New Roman;Times;serif"/>
          <w:i/>
          <w:color w:val="231F20"/>
          <w:sz w:val="20"/>
          <w:bdr w:val="single" w:sz="2" w:space="4" w:color="000000"/>
        </w:rPr>
        <w:t>This prospectus supplement sets forth certain terms of the Notes that we are offering pursuant to this prospectus supplement and supplements the accompanying prospectus that is attached to the back of this prospectus supplement. This section outlines the specific legal and financial terms of the Notes. You should read this section together with the section titled “Description of the Notes” and the more general description of our debt securities in the accompanying prospectus under the heading “Description of Our Debt Securities” before investing in the Notes.</w:t>
      </w:r>
    </w:p>
    <w:tbl>
      <w:tblPr>
        <w:tblW w:w="8525" w:type="dxa"/>
        <w:jc w:val="left"/>
        <w:tblInd w:w="840" w:type="dxa"/>
        <w:tblLayout w:type="fixed"/>
        <w:tblCellMar>
          <w:top w:w="0" w:type="dxa"/>
          <w:left w:w="0" w:type="dxa"/>
          <w:bottom w:w="0" w:type="dxa"/>
          <w:right w:w="0" w:type="dxa"/>
        </w:tblCellMar>
      </w:tblPr>
      <w:tblGrid>
        <w:gridCol w:w="1539"/>
        <w:gridCol w:w="6986"/>
      </w:tblGrid>
      <w:tr>
        <w:trPr/>
        <w:tc>
          <w:tcPr>
            <w:tcW w:w="1539" w:type="dxa"/>
            <w:tcBorders/>
            <w:vAlign w:val="center"/>
          </w:tcPr>
          <w:p>
            <w:pPr>
              <w:pStyle w:val="TableContents"/>
              <w:bidi w:val="0"/>
              <w:spacing w:before="0" w:after="283"/>
              <w:jc w:val="left"/>
              <w:rPr>
                <w:sz w:val="4"/>
                <w:szCs w:val="4"/>
              </w:rPr>
            </w:pPr>
            <w:r>
              <w:rPr>
                <w:sz w:val="4"/>
                <w:szCs w:val="4"/>
              </w:rPr>
            </w:r>
          </w:p>
        </w:tc>
        <w:tc>
          <w:tcPr>
            <w:tcW w:w="6986" w:type="dxa"/>
            <w:tcBorders/>
            <w:vAlign w:val="center"/>
          </w:tcPr>
          <w:p>
            <w:pPr>
              <w:pStyle w:val="TableContents"/>
              <w:bidi w:val="0"/>
              <w:spacing w:before="0" w:after="283"/>
              <w:ind w:left="0" w:right="0" w:hanging="0"/>
              <w:jc w:val="left"/>
              <w:rPr>
                <w:sz w:val="4"/>
                <w:szCs w:val="4"/>
              </w:rPr>
            </w:pPr>
            <w:r>
              <w:rPr>
                <w:sz w:val="4"/>
                <w:szCs w:val="4"/>
              </w:rPr>
            </w:r>
          </w:p>
        </w:tc>
      </w:tr>
      <w:tr>
        <w:trPr/>
        <w:tc>
          <w:tcPr>
            <w:tcW w:w="1539" w:type="dxa"/>
            <w:tcBorders/>
            <w:vAlign w:val="center"/>
          </w:tcPr>
          <w:p>
            <w:pPr>
              <w:pStyle w:val="TableContents"/>
              <w:bidi w:val="0"/>
              <w:spacing w:before="0" w:after="283"/>
              <w:ind w:left="0" w:right="0" w:hanging="0"/>
              <w:jc w:val="left"/>
              <w:rPr>
                <w:sz w:val="4"/>
                <w:szCs w:val="4"/>
              </w:rPr>
            </w:pPr>
            <w:r>
              <w:rPr>
                <w:sz w:val="4"/>
                <w:szCs w:val="4"/>
              </w:rPr>
            </w:r>
          </w:p>
        </w:tc>
        <w:tc>
          <w:tcPr>
            <w:tcW w:w="6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436110" cy="29210"/>
                      <wp:effectExtent l="0" t="0" r="0" b="0"/>
                      <wp:wrapNone/>
                      <wp:docPr id="7" name="Frame7"/>
                      <a:graphic xmlns:a="http://schemas.openxmlformats.org/drawingml/2006/main">
                        <a:graphicData uri="http://schemas.microsoft.com/office/word/2010/wordprocessingShape">
                          <wps:wsp>
                            <wps:cNvSpPr txBox="1"/>
                            <wps:spPr>
                              <a:xfrm>
                                <a:off x="0" y="0"/>
                                <a:ext cx="4436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Issuer</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Runway Growth Finance Corp.</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Title of the Securities</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7.00% Notes due 2029</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Aggregate Principal Amount Offered</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$50,000,000</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Initial Public Offering Price</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98.859% of the aggregate principal amount of the Notes.</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Principal Payable at Maturity</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100% of the aggregate principal amount. The outstanding principal amount of the Notes will be payable on the stated maturity date at the office of the trustee, paying agent, and security registrar for the Notes or at such other office as we may designate.</w:t>
            </w:r>
          </w:p>
        </w:tc>
      </w:tr>
      <w:tr>
        <w:trPr/>
        <w:tc>
          <w:tcPr>
            <w:tcW w:w="1539" w:type="dxa"/>
            <w:tcBorders/>
            <w:vAlign w:val="center"/>
          </w:tcPr>
          <w:p>
            <w:pPr>
              <w:pStyle w:val="TableContents"/>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No Established Trading Market</w:t>
            </w:r>
          </w:p>
        </w:tc>
        <w:tc>
          <w:tcPr>
            <w:tcW w:w="6986" w:type="dxa"/>
            <w:tcBorders/>
            <w:vAlign w:val="center"/>
          </w:tcPr>
          <w:p>
            <w:pPr>
              <w:pStyle w:val="TableContents"/>
              <w:bidi w:val="0"/>
              <w:spacing w:lineRule="auto" w:line="285"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Notes are a new issue of securities with no established trading market. We do not intend to list the Notes on any securities exchange or automated dealer quotation system.</w:t>
            </w:r>
          </w:p>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Accordingly, we cannot assure you that a liquid market for the Notes will develop or be maintained.</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Interest Rate</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7.00%</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Rating</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Company intends to obtain a rating on the Notes from a nationally recognized statistical rating organization within 90 days of the Trade Date</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Day Count Basis</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360-day year of twelve 30-day months</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Maturity Date</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December 1, 2029</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Interest Payment Dates</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Interest will accrue from May 29, 2026 and will be payable semi-annually in arrears on June 1 and December 1 of each year beginning on December 1, 2026. If an interest payment date falls on a non-business day, the applicable interest payment will be made on the next business day and no additional interest will accrue as a result of such delayed payment.</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Specified Currency</w:t>
            </w:r>
          </w:p>
        </w:tc>
        <w:tc>
          <w:tcPr>
            <w:tcW w:w="698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U.S. Dollar</w:t>
            </w:r>
          </w:p>
        </w:tc>
      </w:tr>
      <w:tr>
        <w:trPr/>
        <w:tc>
          <w:tcPr>
            <w:tcW w:w="1539"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986"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539"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Ranking</w:t>
            </w:r>
          </w:p>
        </w:tc>
        <w:tc>
          <w:tcPr>
            <w:tcW w:w="6986" w:type="dxa"/>
            <w:tcBorders/>
            <w:vAlign w:val="center"/>
          </w:tcPr>
          <w:p>
            <w:pPr>
              <w:pStyle w:val="TableContents"/>
              <w:bidi w:val="0"/>
              <w:spacing w:lineRule="auto" w:line="285"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Notes will be our direct unsecured obligations and will rank:</w:t>
            </w:r>
          </w:p>
          <w:p>
            <w:pPr>
              <w:pStyle w:val="TableContents"/>
              <w:bidi w:val="0"/>
              <w:spacing w:lineRule="auto" w:line="285" w:before="0" w:after="240"/>
              <w:jc w:val="left"/>
              <w:rPr>
                <w:color w:val="231F20"/>
              </w:rPr>
            </w:pPr>
            <w:r>
              <w:rPr>
                <w:color w:val="231F20"/>
              </w:rPr>
              <w:t>●</w:t>
            </w:r>
          </w:p>
          <w:p>
            <w:pPr>
              <w:pStyle w:val="TableContents"/>
              <w:bidi w:val="0"/>
              <w:spacing w:lineRule="auto" w:line="285" w:before="0" w:after="240"/>
              <w:jc w:val="left"/>
              <w:rPr>
                <w:rFonts w:ascii="Aptos" w:hAnsi="Aptos"/>
                <w:sz w:val="20"/>
              </w:rPr>
            </w:pPr>
            <w:r>
              <w:rPr>
                <w:rFonts w:ascii="Times New Roman;Times;serif" w:hAnsi="Times New Roman;Times;serif"/>
                <w:b w:val="false"/>
                <w:i/>
                <w:color w:val="231F20"/>
                <w:sz w:val="20"/>
              </w:rPr>
              <w:t xml:space="preserve">pari passu </w:t>
            </w:r>
            <w:r>
              <w:rPr>
                <w:rFonts w:ascii="Times New Roman;Times;serif" w:hAnsi="Times New Roman;Times;serif"/>
                <w:b w:val="false"/>
                <w:i w:val="false"/>
                <w:caps w:val="false"/>
                <w:smallCaps w:val="false"/>
                <w:color w:val="231F20"/>
                <w:sz w:val="20"/>
              </w:rPr>
              <w:t>with our current and future unsecured, unsubordinated indebtedness, including the 7.50% Notes due 2027 (the “July 2027 Notes”), the SWK 2027 Notes, the 7.51% Series 2025A Senior Notes due 2028 (the “April 2028 Notes”) and the 7.25% Notes due 2031 (the “February 2031 Notes”);</w:t>
            </w:r>
          </w:p>
          <w:p>
            <w:pPr>
              <w:pStyle w:val="TableContents"/>
              <w:bidi w:val="0"/>
              <w:spacing w:lineRule="auto" w:line="285" w:before="0" w:after="240"/>
              <w:jc w:val="left"/>
              <w:rPr>
                <w:color w:val="231F20"/>
              </w:rPr>
            </w:pPr>
            <w:r>
              <w:rPr>
                <w:color w:val="231F20"/>
              </w:rPr>
              <w:t>●</w:t>
            </w:r>
          </w:p>
          <w:p>
            <w:pPr>
              <w:pStyle w:val="TableContents"/>
              <w:bidi w:val="0"/>
              <w:spacing w:lineRule="auto" w:line="285" w:before="0" w:after="24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senior to any series of preferred stock that we may issue in the future;</w:t>
            </w:r>
          </w:p>
          <w:p>
            <w:pPr>
              <w:pStyle w:val="TableContents"/>
              <w:bidi w:val="0"/>
              <w:spacing w:lineRule="auto" w:line="285" w:before="0" w:after="0"/>
              <w:jc w:val="left"/>
              <w:rPr>
                <w:color w:val="231F20"/>
              </w:rPr>
            </w:pPr>
            <w:r>
              <w:rPr>
                <w:color w:val="231F20"/>
              </w:rPr>
              <w:t>●</w:t>
            </w:r>
          </w:p>
          <w:p>
            <w:pPr>
              <w:pStyle w:val="TableContents"/>
              <w:bidi w:val="0"/>
              <w:spacing w:lineRule="auto" w:line="285" w:before="0" w:after="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senior to any of our future indebtedness that expressly provides it is subordinated to the Notes;</w:t>
            </w:r>
          </w:p>
        </w:tc>
      </w:tr>
    </w:tbl>
    <w:p>
      <w:pPr>
        <w:pStyle w:val="TextBody"/>
        <w:bidi w:val="0"/>
        <w:spacing w:lineRule="auto" w:line="328" w:before="0" w:after="160"/>
        <w:ind w:left="840" w:right="840" w:hanging="0"/>
        <w:jc w:val="left"/>
        <w:rPr>
          <w:bdr w:val="single" w:sz="2" w:space="4" w:color="000000"/>
        </w:rPr>
      </w:pPr>
      <w:r>
        <w:rPr>
          <w:bdr w:val="single" w:sz="2" w:space="4" w:color="000000"/>
        </w:rPr>
        <w:t>​</w:t>
      </w:r>
    </w:p>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S-10</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25" w:type="dxa"/>
        <w:jc w:val="left"/>
        <w:tblInd w:w="840" w:type="dxa"/>
        <w:tblLayout w:type="fixed"/>
        <w:tblCellMar>
          <w:top w:w="0" w:type="dxa"/>
          <w:left w:w="0" w:type="dxa"/>
          <w:bottom w:w="0" w:type="dxa"/>
          <w:right w:w="0" w:type="dxa"/>
        </w:tblCellMar>
      </w:tblPr>
      <w:tblGrid>
        <w:gridCol w:w="1811"/>
        <w:gridCol w:w="6714"/>
      </w:tblGrid>
      <w:tr>
        <w:trPr/>
        <w:tc>
          <w:tcPr>
            <w:tcW w:w="1811" w:type="dxa"/>
            <w:tcBorders/>
            <w:vAlign w:val="center"/>
          </w:tcPr>
          <w:p>
            <w:pPr>
              <w:pStyle w:val="TableContents"/>
              <w:bidi w:val="0"/>
              <w:spacing w:before="0" w:after="283"/>
              <w:jc w:val="left"/>
              <w:rPr>
                <w:sz w:val="4"/>
                <w:szCs w:val="4"/>
              </w:rPr>
            </w:pPr>
            <w:r>
              <w:rPr>
                <w:sz w:val="4"/>
                <w:szCs w:val="4"/>
              </w:rPr>
            </w:r>
          </w:p>
        </w:tc>
        <w:tc>
          <w:tcPr>
            <w:tcW w:w="671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1"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714" w:type="dxa"/>
            <w:tcBorders/>
            <w:vAlign w:val="center"/>
          </w:tcPr>
          <w:p>
            <w:pPr>
              <w:pStyle w:val="TableContents"/>
              <w:bidi w:val="0"/>
              <w:spacing w:lineRule="auto" w:line="285" w:before="0" w:after="240"/>
              <w:jc w:val="left"/>
              <w:rPr>
                <w:color w:val="231F20"/>
              </w:rPr>
            </w:pPr>
            <w:r>
              <w:rPr>
                <w:color w:val="231F20"/>
              </w:rPr>
              <w:t>●</w:t>
            </w:r>
          </w:p>
          <w:p>
            <w:pPr>
              <w:pStyle w:val="TableContents"/>
              <w:bidi w:val="0"/>
              <w:spacing w:lineRule="auto" w:line="285" w:before="0" w:after="24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effectively subordinated to all our existing and future secured indebtedness (including indebtedness that is initially unsecured to which we subsequently grant security), to the extent of the value of the assets securing such indebtedness; and</w:t>
            </w:r>
          </w:p>
          <w:p>
            <w:pPr>
              <w:pStyle w:val="TableContents"/>
              <w:bidi w:val="0"/>
              <w:spacing w:lineRule="auto" w:line="285" w:before="0" w:after="0"/>
              <w:jc w:val="left"/>
              <w:rPr>
                <w:color w:val="231F20"/>
              </w:rPr>
            </w:pPr>
            <w:r>
              <w:rPr>
                <w:color w:val="231F20"/>
              </w:rPr>
              <w:t>●</w:t>
            </w:r>
          </w:p>
          <w:p>
            <w:pPr>
              <w:pStyle w:val="TableContents"/>
              <w:bidi w:val="0"/>
              <w:spacing w:lineRule="auto" w:line="285" w:before="0" w:after="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structurally subordinated to all existing and future indebtedness and other obligations of any of our subsidiaries, financing vehicles or similar facilities, including debt outstanding under our Credit Facility.</w:t>
            </w:r>
          </w:p>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As of May 21, 2026, our total indebtedness was approximately $693.5 million, $410.0 million of which was secured indebtedness under our Credit Facility. After giving effect to the issuance of the Notes, assuming no repayment of amounts owed under our Credit Facility, our total indebtedness would have been approximately $743.5 million aggregate principal amount outstanding as of May 21, 2026.</w:t>
            </w:r>
          </w:p>
        </w:tc>
      </w:tr>
      <w:tr>
        <w:trPr/>
        <w:tc>
          <w:tcPr>
            <w:tcW w:w="1811"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714"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811"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Denominations</w:t>
            </w:r>
          </w:p>
        </w:tc>
        <w:tc>
          <w:tcPr>
            <w:tcW w:w="6714"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We will issue the Notes in denominations of $2,000 and integral multiples of $1,000 in excess thereof</w:t>
            </w:r>
          </w:p>
        </w:tc>
      </w:tr>
      <w:tr>
        <w:trPr/>
        <w:tc>
          <w:tcPr>
            <w:tcW w:w="1811"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714"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811"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Optional Redemption</w:t>
            </w:r>
          </w:p>
        </w:tc>
        <w:tc>
          <w:tcPr>
            <w:tcW w:w="6714" w:type="dxa"/>
            <w:tcBorders/>
            <w:vAlign w:val="center"/>
          </w:tcPr>
          <w:p>
            <w:pPr>
              <w:pStyle w:val="TableContents"/>
              <w:bidi w:val="0"/>
              <w:spacing w:lineRule="auto" w:line="285"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Prior to June 1, 2029 (the “Par Call Date”), we may redeem the Notes at our option, in whole or in part, at any time and from time to time, at a redemption price (expressed as a percentage of the principal amount and rounded to three decimal places) equal to the greater of: (1)(a) the sum of the present values of the remaining scheduled payments of principal and interest thereon discounted to the redemption date on a semi-annual basis at the Treasury Rate plus 50 basis points less (b) interest accrued to the date of redemption, and (2) 100% of the principal amount of the Notes to be redeemed, plus, in either case, accrued and unpaid interest thereon to, but not including, the redemption date.</w:t>
            </w:r>
          </w:p>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On or after the Par Call Date, we may redeem the Notes, in whole or in part, at any time and from time to time, at a redemption price equal to 100% of the principal amount of the Notes being redeemed plus accrued and unpaid interest.</w:t>
            </w:r>
          </w:p>
        </w:tc>
      </w:tr>
      <w:tr>
        <w:trPr/>
        <w:tc>
          <w:tcPr>
            <w:tcW w:w="1811"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714"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811"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Sinking Fund</w:t>
            </w:r>
          </w:p>
        </w:tc>
        <w:tc>
          <w:tcPr>
            <w:tcW w:w="6714"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Notes will not be subject to any sinking fund.</w:t>
            </w:r>
          </w:p>
        </w:tc>
      </w:tr>
      <w:tr>
        <w:trPr/>
        <w:tc>
          <w:tcPr>
            <w:tcW w:w="1811"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714"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811"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Offer to Repurchase Upon a Change of Control Repurchase Event</w:t>
            </w:r>
          </w:p>
        </w:tc>
        <w:tc>
          <w:tcPr>
            <w:tcW w:w="6714"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If a Change of Control Repurchase Event occurs prior to maturity, unless we have exercised 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tc>
      </w:tr>
      <w:tr>
        <w:trPr/>
        <w:tc>
          <w:tcPr>
            <w:tcW w:w="1811"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714"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811"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Defeasance</w:t>
            </w:r>
          </w:p>
        </w:tc>
        <w:tc>
          <w:tcPr>
            <w:tcW w:w="6714"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Notes are subject to legal and covenant defeasance by us.</w:t>
            </w:r>
          </w:p>
        </w:tc>
      </w:tr>
      <w:tr>
        <w:trPr/>
        <w:tc>
          <w:tcPr>
            <w:tcW w:w="1811"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6714"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811"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Form of Notes</w:t>
            </w:r>
          </w:p>
        </w:tc>
        <w:tc>
          <w:tcPr>
            <w:tcW w:w="6714"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Notes will be represented by global securities that will be deposited and registered in the name of DTC or its nominee.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which are participants in DTC.</w:t>
            </w:r>
          </w:p>
        </w:tc>
      </w:tr>
    </w:tbl>
    <w:p>
      <w:pPr>
        <w:pStyle w:val="TextBody"/>
        <w:bidi w:val="0"/>
        <w:spacing w:lineRule="auto" w:line="328" w:before="0" w:after="160"/>
        <w:ind w:left="840" w:right="840" w:hanging="0"/>
        <w:jc w:val="left"/>
        <w:rPr>
          <w:bdr w:val="single" w:sz="2" w:space="4" w:color="000000"/>
        </w:rPr>
      </w:pPr>
      <w:r>
        <w:rPr>
          <w:bdr w:val="single" w:sz="2" w:space="4" w:color="000000"/>
        </w:rPr>
        <w:t>​</w:t>
      </w:r>
    </w:p>
    <w:tbl>
      <w:tblPr>
        <w:tblW w:w="8027" w:type="dxa"/>
        <w:jc w:val="left"/>
        <w:tblInd w:w="840" w:type="dxa"/>
        <w:tblLayout w:type="fixed"/>
        <w:tblCellMar>
          <w:top w:w="0" w:type="dxa"/>
          <w:left w:w="0" w:type="dxa"/>
          <w:bottom w:w="0" w:type="dxa"/>
          <w:right w:w="0" w:type="dxa"/>
        </w:tblCellMar>
      </w:tblPr>
      <w:tblGrid>
        <w:gridCol w:w="3961"/>
        <w:gridCol w:w="4066"/>
      </w:tblGrid>
      <w:tr>
        <w:trPr/>
        <w:tc>
          <w:tcPr>
            <w:tcW w:w="3961"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283"/>
              <w:ind w:left="0" w:right="0" w:hanging="0"/>
              <w:jc w:val="left"/>
              <w:rPr>
                <w:sz w:val="4"/>
                <w:szCs w:val="4"/>
              </w:rPr>
            </w:pPr>
            <w:r>
              <w:rPr>
                <w:sz w:val="4"/>
                <w:szCs w:val="4"/>
              </w:rPr>
            </w:r>
          </w:p>
        </w:tc>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581910" cy="29210"/>
                      <wp:effectExtent l="0" t="0" r="0" b="0"/>
                      <wp:wrapNone/>
                      <wp:docPr id="8" name="Frame8"/>
                      <a:graphic xmlns:a="http://schemas.openxmlformats.org/drawingml/2006/main">
                        <a:graphicData uri="http://schemas.microsoft.com/office/word/2010/wordprocessingShape">
                          <wps:wsp>
                            <wps:cNvSpPr txBox="1"/>
                            <wps:spPr>
                              <a:xfrm>
                                <a:off x="0" y="0"/>
                                <a:ext cx="2581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961"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Trustee, Paying Agent and Security Registrar</w:t>
            </w:r>
          </w:p>
        </w:tc>
        <w:tc>
          <w:tcPr>
            <w:tcW w:w="4066"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U.S. Bank Trust Company, National Association</w:t>
            </w:r>
          </w:p>
        </w:tc>
      </w:tr>
      <w:tr>
        <w:trPr/>
        <w:tc>
          <w:tcPr>
            <w:tcW w:w="3961"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4066" w:type="dxa"/>
            <w:tcBorders/>
            <w:vAlign w:val="center"/>
          </w:tcPr>
          <w:p>
            <w:pPr>
              <w:pStyle w:val="TableContents"/>
              <w:bidi w:val="0"/>
              <w:spacing w:lineRule="auto" w:line="328" w:before="0" w:after="0"/>
              <w:ind w:left="0" w:right="0" w:hanging="0"/>
              <w:jc w:val="left"/>
              <w:rPr>
                <w:color w:val="231F20"/>
              </w:rPr>
            </w:pPr>
            <w:r>
              <w:rPr>
                <w:color w:val="231F20"/>
              </w:rPr>
              <w:t>​</w:t>
            </w:r>
          </w:p>
        </w:tc>
      </w:tr>
    </w:tbl>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S-11</w:t>
      </w:r>
    </w:p>
    <w:p>
      <w:pPr>
        <w:pStyle w:val="TextBody"/>
        <w:bidi w:val="0"/>
        <w:spacing w:lineRule="auto" w:line="285" w:before="400" w:after="200"/>
        <w:ind w:left="840" w:right="84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25" w:type="dxa"/>
        <w:jc w:val="left"/>
        <w:tblInd w:w="840" w:type="dxa"/>
        <w:tblLayout w:type="fixed"/>
        <w:tblCellMar>
          <w:top w:w="0" w:type="dxa"/>
          <w:left w:w="0" w:type="dxa"/>
          <w:bottom w:w="0" w:type="dxa"/>
          <w:right w:w="0" w:type="dxa"/>
        </w:tblCellMar>
      </w:tblPr>
      <w:tblGrid>
        <w:gridCol w:w="1035"/>
        <w:gridCol w:w="7490"/>
      </w:tblGrid>
      <w:tr>
        <w:trPr/>
        <w:tc>
          <w:tcPr>
            <w:tcW w:w="1035" w:type="dxa"/>
            <w:tcBorders/>
            <w:vAlign w:val="center"/>
          </w:tcPr>
          <w:p>
            <w:pPr>
              <w:pStyle w:val="TableContents"/>
              <w:bidi w:val="0"/>
              <w:spacing w:before="0" w:after="283"/>
              <w:jc w:val="left"/>
              <w:rPr>
                <w:sz w:val="4"/>
                <w:szCs w:val="4"/>
              </w:rPr>
            </w:pPr>
            <w:r>
              <w:rPr>
                <w:sz w:val="4"/>
                <w:szCs w:val="4"/>
              </w:rPr>
            </w:r>
          </w:p>
        </w:tc>
        <w:tc>
          <w:tcPr>
            <w:tcW w:w="7490" w:type="dxa"/>
            <w:tcBorders/>
            <w:vAlign w:val="center"/>
          </w:tcPr>
          <w:p>
            <w:pPr>
              <w:pStyle w:val="TableContents"/>
              <w:bidi w:val="0"/>
              <w:spacing w:before="0" w:after="283"/>
              <w:ind w:left="0" w:right="0" w:hanging="0"/>
              <w:jc w:val="left"/>
              <w:rPr>
                <w:sz w:val="4"/>
                <w:szCs w:val="4"/>
              </w:rPr>
            </w:pPr>
            <w:r>
              <w:rPr>
                <w:sz w:val="4"/>
                <w:szCs w:val="4"/>
              </w:rPr>
            </w:r>
          </w:p>
        </w:tc>
      </w:tr>
      <w:tr>
        <w:trPr/>
        <w:tc>
          <w:tcPr>
            <w:tcW w:w="1035"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Other Covenants</w:t>
            </w:r>
          </w:p>
        </w:tc>
        <w:tc>
          <w:tcPr>
            <w:tcW w:w="7490" w:type="dxa"/>
            <w:tcBorders/>
            <w:vAlign w:val="center"/>
          </w:tcPr>
          <w:p>
            <w:pPr>
              <w:pStyle w:val="TableContents"/>
              <w:bidi w:val="0"/>
              <w:spacing w:lineRule="auto" w:line="285"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indebtedness, including through the issuance of additional debt securities, unless our asset coverage, as defined in the 1940 Act, equals at least 150% after such borrowings.</w:t>
            </w:r>
          </w:p>
          <w:p>
            <w:pPr>
              <w:pStyle w:val="TableContents"/>
              <w:bidi w:val="0"/>
              <w:spacing w:lineRule="auto" w:line="285" w:before="0" w:after="240"/>
              <w:ind w:left="0" w:right="0" w:hanging="0"/>
              <w:jc w:val="left"/>
              <w:rPr>
                <w:rFonts w:ascii="Times New Roman;Times;serif" w:hAnsi="Times New Roman;Times;serif"/>
                <w:color w:val="231F20"/>
                <w:sz w:val="20"/>
              </w:rPr>
            </w:pPr>
            <w:r>
              <w:rPr>
                <w:rFonts w:ascii="Times New Roman;Times;serif" w:hAnsi="Times New Roman;Times;serif"/>
                <w:color w:val="231F20"/>
                <w:sz w:val="20"/>
              </w:rPr>
              <w:t>We agree that, for the period of time during which the Notes are outstanding, we will not violate Section 18(a)(1)(B) as modified by (i) Section 61(a)(2) of the 1940 Act or any successor provisions and after giving effect to any exemptive relief granted to us by the SEC and (ii) the two other exceptions set forth below.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w:t>
            </w:r>
          </w:p>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generally accepted accounting principles.</w:t>
            </w:r>
          </w:p>
        </w:tc>
      </w:tr>
      <w:tr>
        <w:trPr/>
        <w:tc>
          <w:tcPr>
            <w:tcW w:w="1035"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7490"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035"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Events of Default</w:t>
            </w:r>
          </w:p>
        </w:tc>
        <w:tc>
          <w:tcPr>
            <w:tcW w:w="7490"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If an event of default on the Notes occurs, the principal amount of the Notes, plus accrued and unpaid interest, may be declared immediately due and payable, subject to the conditions set forth in the indenture governing the Notes.</w:t>
            </w:r>
          </w:p>
        </w:tc>
      </w:tr>
    </w:tbl>
    <w:p>
      <w:pPr>
        <w:pStyle w:val="TextBody"/>
        <w:bidi w:val="0"/>
        <w:spacing w:lineRule="auto" w:line="328" w:before="0" w:after="160"/>
        <w:ind w:left="840" w:right="840" w:hanging="0"/>
        <w:jc w:val="left"/>
        <w:rPr>
          <w:bdr w:val="single" w:sz="2" w:space="4" w:color="000000"/>
        </w:rPr>
      </w:pPr>
      <w:r>
        <w:rPr>
          <w:bdr w:val="single" w:sz="2" w:space="4" w:color="000000"/>
        </w:rPr>
        <w:t>​</w:t>
      </w:r>
    </w:p>
    <w:tbl>
      <w:tblPr>
        <w:tblW w:w="8525" w:type="dxa"/>
        <w:jc w:val="left"/>
        <w:tblInd w:w="840" w:type="dxa"/>
        <w:tblLayout w:type="fixed"/>
        <w:tblCellMar>
          <w:top w:w="0" w:type="dxa"/>
          <w:left w:w="0" w:type="dxa"/>
          <w:bottom w:w="0" w:type="dxa"/>
          <w:right w:w="0" w:type="dxa"/>
        </w:tblCellMar>
      </w:tblPr>
      <w:tblGrid>
        <w:gridCol w:w="1111"/>
        <w:gridCol w:w="7414"/>
      </w:tblGrid>
      <w:tr>
        <w:trPr/>
        <w:tc>
          <w:tcPr>
            <w:tcW w:w="1111" w:type="dxa"/>
            <w:tcBorders/>
            <w:vAlign w:val="center"/>
          </w:tcPr>
          <w:p>
            <w:pPr>
              <w:pStyle w:val="TableContents"/>
              <w:bidi w:val="0"/>
              <w:spacing w:before="0" w:after="283"/>
              <w:jc w:val="left"/>
              <w:rPr>
                <w:sz w:val="4"/>
                <w:szCs w:val="4"/>
              </w:rPr>
            </w:pPr>
            <w:r>
              <w:rPr>
                <w:sz w:val="4"/>
                <w:szCs w:val="4"/>
              </w:rPr>
            </w:r>
          </w:p>
        </w:tc>
        <w:tc>
          <w:tcPr>
            <w:tcW w:w="7414" w:type="dxa"/>
            <w:tcBorders/>
            <w:vAlign w:val="center"/>
          </w:tcPr>
          <w:p>
            <w:pPr>
              <w:pStyle w:val="TableContents"/>
              <w:bidi w:val="0"/>
              <w:spacing w:before="0" w:after="283"/>
              <w:ind w:left="0" w:right="0" w:hanging="0"/>
              <w:jc w:val="left"/>
              <w:rPr>
                <w:sz w:val="4"/>
                <w:szCs w:val="4"/>
              </w:rPr>
            </w:pPr>
            <w:r>
              <w:rPr>
                <w:sz w:val="4"/>
                <w:szCs w:val="4"/>
              </w:rPr>
            </w:r>
          </w:p>
        </w:tc>
      </w:tr>
      <w:tr>
        <w:trPr/>
        <w:tc>
          <w:tcPr>
            <w:tcW w:w="1111" w:type="dxa"/>
            <w:tcBorders/>
            <w:vAlign w:val="center"/>
          </w:tcPr>
          <w:p>
            <w:pPr>
              <w:pStyle w:val="TableContents"/>
              <w:bidi w:val="0"/>
              <w:spacing w:before="0" w:after="283"/>
              <w:ind w:left="0" w:right="0" w:hanging="0"/>
              <w:jc w:val="left"/>
              <w:rPr>
                <w:sz w:val="4"/>
                <w:szCs w:val="4"/>
              </w:rPr>
            </w:pPr>
            <w:r>
              <w:rPr>
                <w:sz w:val="4"/>
                <w:szCs w:val="4"/>
              </w:rPr>
            </w:r>
          </w:p>
        </w:tc>
        <w:tc>
          <w:tcPr>
            <w:tcW w:w="7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707890" cy="29210"/>
                      <wp:effectExtent l="0" t="0" r="0" b="0"/>
                      <wp:wrapNone/>
                      <wp:docPr id="9" name="Frame9"/>
                      <a:graphic xmlns:a="http://schemas.openxmlformats.org/drawingml/2006/main">
                        <a:graphicData uri="http://schemas.microsoft.com/office/word/2010/wordprocessingShape">
                          <wps:wsp>
                            <wps:cNvSpPr txBox="1"/>
                            <wps:spPr>
                              <a:xfrm>
                                <a:off x="0" y="0"/>
                                <a:ext cx="47078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111"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Use of Proceeds</w:t>
            </w:r>
          </w:p>
        </w:tc>
        <w:tc>
          <w:tcPr>
            <w:tcW w:w="7414"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We estimate that the net proceeds from the sale of the Notes in this offering will be approximately $48.4 million, after deducting the underwriting discounts and commissions and estimated offering expenses. We intend to use the net proceeds from this offering to repay outstanding indebtedness under our Credit Facility and for our general corporate purposes. See the “Use of Proceeds” section of this prospectus supplement.</w:t>
            </w:r>
          </w:p>
        </w:tc>
      </w:tr>
      <w:tr>
        <w:trPr/>
        <w:tc>
          <w:tcPr>
            <w:tcW w:w="1111"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7414"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111"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Governing Law</w:t>
            </w:r>
          </w:p>
        </w:tc>
        <w:tc>
          <w:tcPr>
            <w:tcW w:w="7414"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The Notes and the Indenture will be governed by and construed in accordance with the laws of the State of New York.</w:t>
            </w:r>
          </w:p>
        </w:tc>
      </w:tr>
      <w:tr>
        <w:trPr/>
        <w:tc>
          <w:tcPr>
            <w:tcW w:w="1111" w:type="dxa"/>
            <w:tcBorders/>
            <w:vAlign w:val="center"/>
          </w:tcPr>
          <w:p>
            <w:pPr>
              <w:pStyle w:val="TableContents"/>
              <w:pBdr/>
              <w:bidi w:val="0"/>
              <w:spacing w:lineRule="auto" w:line="328" w:before="0" w:after="0"/>
              <w:ind w:left="0" w:right="0" w:hanging="0"/>
              <w:jc w:val="left"/>
              <w:rPr>
                <w:color w:val="231F20"/>
              </w:rPr>
            </w:pPr>
            <w:r>
              <w:rPr>
                <w:color w:val="231F20"/>
              </w:rPr>
              <w:t>​</w:t>
            </w:r>
          </w:p>
        </w:tc>
        <w:tc>
          <w:tcPr>
            <w:tcW w:w="7414" w:type="dxa"/>
            <w:tcBorders/>
            <w:vAlign w:val="center"/>
          </w:tcPr>
          <w:p>
            <w:pPr>
              <w:pStyle w:val="TableContents"/>
              <w:bidi w:val="0"/>
              <w:spacing w:lineRule="auto" w:line="328" w:before="0" w:after="0"/>
              <w:ind w:left="0" w:right="0" w:hanging="0"/>
              <w:jc w:val="left"/>
              <w:rPr>
                <w:color w:val="231F20"/>
              </w:rPr>
            </w:pPr>
            <w:r>
              <w:rPr>
                <w:color w:val="231F20"/>
              </w:rPr>
              <w:t>​</w:t>
            </w:r>
          </w:p>
        </w:tc>
      </w:tr>
      <w:tr>
        <w:trPr/>
        <w:tc>
          <w:tcPr>
            <w:tcW w:w="1111"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Risk Factors</w:t>
            </w:r>
          </w:p>
        </w:tc>
        <w:tc>
          <w:tcPr>
            <w:tcW w:w="7414"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See “Supplementary Risk Factors” section in this prospectus supplement and “Risk Factors” in the accompanying prospectus, our most recent Annual Report on Form 10-K and our most recent Quarterly Report on Form 10-Q for a discussion of risks you should carefully consider before deciding to invest in the Notes.</w:t>
            </w:r>
          </w:p>
        </w:tc>
      </w:tr>
    </w:tbl>
    <w:p>
      <w:pPr>
        <w:pStyle w:val="TextBody"/>
        <w:bidi w:val="0"/>
        <w:spacing w:lineRule="auto" w:line="328" w:before="0" w:after="160"/>
        <w:ind w:left="840" w:right="840" w:hanging="0"/>
        <w:jc w:val="left"/>
        <w:rPr>
          <w:bdr w:val="single" w:sz="2" w:space="4" w:color="000000"/>
        </w:rPr>
      </w:pPr>
      <w:r>
        <w:rPr>
          <w:bdr w:val="single" w:sz="2" w:space="4" w:color="000000"/>
        </w:rPr>
        <w:t>​</w:t>
      </w:r>
    </w:p>
    <w:p>
      <w:pPr>
        <w:pStyle w:val="TextBody"/>
        <w:bidi w:val="0"/>
        <w:spacing w:lineRule="auto" w:line="328" w:before="0" w:after="160"/>
        <w:ind w:left="840" w:right="840" w:hanging="0"/>
        <w:jc w:val="left"/>
        <w:rPr>
          <w:bdr w:val="single" w:sz="2" w:space="4" w:color="000000"/>
        </w:rPr>
      </w:pPr>
      <w:r>
        <w:rPr>
          <w:bdr w:val="single" w:sz="2" w:space="4" w:color="000000"/>
        </w:rPr>
        <w:t>​</w:t>
      </w:r>
    </w:p>
    <w:p>
      <w:pPr>
        <w:pStyle w:val="TextBody"/>
        <w:bidi w:val="0"/>
        <w:spacing w:lineRule="auto" w:line="328" w:before="0" w:after="160"/>
        <w:ind w:left="840" w:right="840" w:hanging="0"/>
        <w:jc w:val="left"/>
        <w:rPr>
          <w:bdr w:val="single" w:sz="2" w:space="4" w:color="000000"/>
        </w:rPr>
      </w:pPr>
      <w:r>
        <w:rPr>
          <w:bdr w:val="single" w:sz="2" w:space="4" w:color="000000"/>
        </w:rPr>
        <w:t>​</w:t>
      </w:r>
    </w:p>
    <w:p>
      <w:pPr>
        <w:pStyle w:val="TextBody"/>
        <w:bidi w:val="0"/>
        <w:spacing w:lineRule="auto" w:line="285" w:before="120" w:after="360"/>
        <w:ind w:left="840" w:right="840" w:hanging="0"/>
        <w:jc w:val="center"/>
        <w:rPr>
          <w:rFonts w:ascii="Times New Roman;Times;serif" w:hAnsi="Times New Roman;Times;serif"/>
          <w:sz w:val="20"/>
        </w:rPr>
      </w:pPr>
      <w:r>
        <w:rPr>
          <w:rFonts w:ascii="Times New Roman;Times;serif" w:hAnsi="Times New Roman;Times;serif"/>
          <w:sz w:val="20"/>
        </w:rPr>
        <w:t>S-12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10" w:name="SUPPLEMENTARYRISKFACTORS_439381"/>
      <w:bookmarkEnd w:id="10"/>
      <w:r>
        <w:rPr>
          <w:rFonts w:ascii="Times New Roman;Times;serif" w:hAnsi="Times New Roman;Times;serif"/>
          <w:b/>
          <w:color w:val="231F20"/>
          <w:sz w:val="20"/>
        </w:rPr>
        <w:t>SUPPLEMENTARY RISK FACTORS</w:t>
      </w:r>
    </w:p>
    <w:p>
      <w:pPr>
        <w:pStyle w:val="TextBody"/>
        <w:bidi w:val="0"/>
        <w:spacing w:lineRule="auto" w:line="285" w:before="0" w:after="240"/>
        <w:ind w:left="200" w:right="200" w:firstLine="360"/>
        <w:jc w:val="left"/>
        <w:rPr>
          <w:rFonts w:ascii="Times New Roman;Times;serif" w:hAnsi="Times New Roman;Times;serif"/>
          <w:i/>
          <w:color w:val="231F20"/>
          <w:sz w:val="20"/>
        </w:rPr>
      </w:pPr>
      <w:r>
        <w:rPr>
          <w:rFonts w:ascii="Times New Roman;Times;serif" w:hAnsi="Times New Roman;Times;serif"/>
          <w:i/>
          <w:color w:val="231F20"/>
          <w:sz w:val="20"/>
        </w:rPr>
        <w:t>Investing in the Notes involves a number of significant risks. You should carefully consider the risks described below, together with all of the risks and uncertainties described in the section titled “Risk Factors” in the accompanying prospectus, our most recent Annual Report on Form 10-K, our most recent Quarterly Report on Form 10-Q, as well as in subsequent filings with the SEC, which are or will be incorporated by reference into this prospectus supplement and the accompanying prospectus in their entirety, and other information in this prospectus supplement, the accompanying prospectus, the documents incorporated by reference in this prospectus supplement and the accompanying prospectus, and any free writing prospectus that we may authorize for use in connection with this offering. The risks and uncertainties described below are not the only ones facing us. Additional risks and uncertainties not presently known to us, or not presently deemed material by us, may also impair our operations and performance. If any of the following risks actually occur, our business, financial condition or results of operations could be materially adversely affected. If that happens, our net asset value and the trading price of our securities could decline and you may lose all or part of your investment. Please also read carefully the section titled “Cautionary Note Regarding Forward-Looking Statements” in this prospectus supplement.</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 Notes will be unsecured and therefore will be effectively subordinated to any secured indebtedness we have currently incurred or may incur in the future.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will not be secured by any of our assets or any of the assets of our subsidiaries. As a result, the Notes are effectively subordinated to any secured indebtedness we or our subsidiaries have currently incurred or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May 21, 2026, our total indebtedness was approximately $693.5 million, $410.0 million of which was secured.</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 Notes will be structurally subordinated to the indebtedness and other liabilities of our subsidiaries.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are obligations exclusively of Runway Growth Finance Corp., and not of any of our subsidiaries, including any subsidiaries we may acquire or create in the future. Our only current subsidiary is not a guarantor of the Notes, and the Notes are not required to be guaranteed by any subsidiaries we may acquire or create in the future. The assets of such subsidiaries are not directly available to satisfy the claims of our creditors, including the holders of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Except to the extent we are a creditor with recognized claims against our subsidiaries, all claims of creditors (including trade creditors) and holders of preferred stock, if any, of our subsidiaries have priority over our equity interests in such subsidiaries (and therefore the claims of our creditors, including holders of the Notes) with respect to the assets of such subsidiaries. Even if we are recognized as a creditor of one or more of our subsidiaries, our claims are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subsidiary and any subsidiaries that we may in the future acquire or establish as financing vehicles or otherwise.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addition, our subsidiaries may incur substantial additional indebtedness in the future, all of which would be structurally senior to the Notes.</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 indenture under which the Notes will be issued contains limited protection for holders of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investments in the Notes. In particular, the terms of the indenture and the Notes will not place any restrictions on our or our subsidiaries’ ability to:</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S-13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109"/>
        <w:gridCol w:w="95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 our equity interests in our subsidiaries and therefore rank structurally senior to the Notes with respect to the assets of our subsidiaries, in each case other than an incurrence of indebtedness or other obligation that would cause a violation of Section 18(a)(1)(A) of the 1940 Act as modified by Section 61(a)(2) of the 1940 Act or any successor provisions, as such obligations may be amended or superseded, giving effect to any exemptive relief granted to us by the SEC;</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pay dividends on, or purchase or redeem or make any payments in respect of, capital stock or other securities ranking junior in right of payment to the Notes;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sell assets (other than certain limited restrictions on our ability to consolidate, merge or sell all or substantially all of our assets);</w:t>
            </w:r>
          </w:p>
        </w:tc>
      </w:tr>
    </w:tbl>
    <w:tbl>
      <w:tblPr>
        <w:tblW w:w="3546" w:type="dxa"/>
        <w:jc w:val="left"/>
        <w:tblInd w:w="20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enter into transactions with affiliates;</w:t>
            </w:r>
          </w:p>
        </w:tc>
      </w:tr>
    </w:tbl>
    <w:tbl>
      <w:tblPr>
        <w:tblW w:w="9126" w:type="dxa"/>
        <w:jc w:val="left"/>
        <w:tblInd w:w="20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create liens (including liens on the shares of our subsidiaries) or enter into sale and leaseback transactions;</w:t>
            </w:r>
          </w:p>
        </w:tc>
      </w:tr>
    </w:tbl>
    <w:tbl>
      <w:tblPr>
        <w:tblW w:w="2256" w:type="dxa"/>
        <w:jc w:val="left"/>
        <w:tblInd w:w="20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make investments; or</w:t>
            </w:r>
          </w:p>
        </w:tc>
      </w:tr>
    </w:tbl>
    <w:tbl>
      <w:tblPr>
        <w:tblW w:w="7956" w:type="dxa"/>
        <w:jc w:val="left"/>
        <w:tblInd w:w="20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create restrictions on the payment of dividends or other amounts to us from our subsidiaries.</w:t>
            </w:r>
          </w:p>
        </w:tc>
      </w:tr>
    </w:tbl>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addition, except for the obligation to offer to repurchase the Notes upon a Change of Control Repurchase Event described in this prospectus supplement, the indenture does not require us to offer to repurchase the Notes in connection with a change of control or any other event.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Our ability to recapitalize, incur additional debt and take a number of other actions that are not limited by the terms of the Notes may have important consequences for holders of the Notes, including making it more difficult for us to satisfy our obligations with respect to the Notes or negatively affecting the trading value of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 optional redemption provision may materially adversely affect your return on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are redeemable in whole or in part at any time or from time to time at our sole option.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We may not be able to repurchase the Notes upon a Change of Control Repurchase Event.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may not be able to repurchase the Notes upon a Change of Control Repurchase Event because we may not have sufficient funds. Upon a Change of Control Repurchase Event, holders of the Notes may require us to repurchase for cash some or all of the Notes at a repurchase price equal to 100% of the aggregate principal amount of the Notes being repurchased, plus accrued and unpaid interest to, but not including, the repurchase date. Our failure to purchase such tendered Notes upon the occurrence of such Change of Control Repurchase Event would cause an event of default under the indenture governing the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Notes. See “Description of the Notes — Offer to Repurchase Upon a Change of Control Repurchase Event” in this prospectus supplement for additional information.</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S-14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Our credit ratings may not reflect all risks of an investment in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Our credit ratings are an assessment by third parties of our ability to pay our obligations. Consequently, real or anticipated changes in our credit ratings will generally affect the market value of the Notes. Our credit ratings, however, may not reflect the potential impact of risks related to market conditions generally or other factors discussed above on the market value of or trading market for the Notes.</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If we default on our obligations to pay our other indebtedness, we may not be able to make payments on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default under the agreements governing our indebtedness, including a default under the Credit Facility, the July 2027 Notes, the SWK 2027 Notes, April 2028 Notes, the February 2031 Notes or other indebtedness to which we may be a party that is not waived by the required lenders or holders thereunder,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either of the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Credit Facility, or from the holders of the July 2027 Notes, the SWK 2027 Notes, the April 2028 Notes, the February 2031 Notes or other debt that we may incur in the future to avoid being in default. If we breach our covenants under any of the Credit Facility, the July 2027 Notes, the SWK 2027 Notes, the April 2028 Notes, the February 2031 Notes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the Credit Facility, could proceed against the collateral securing the debt. Because the Credit Facility has, and any future debt will likely have, customary cross-default provisions, if the indebtedness thereunder or under any future indebtedness is accelerated, we may be unable to repay or finance the amounts due.</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Our shares of common stock have traded at a discount from net asset value and may do so in the future, which could limit our ability to raise additional equity capital.</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Shares of closed-end investment companies frequently trade at a market price that is less than the net asset value that is attributable to those shares. This characteristic of closed-end investment companies is separate and distinct from the risk that our net asset value per share may decline. It is not possible to predict whether shares of our common stock will trade at, above or below net asset value. In addition, in recent periods, shares of BDCs as an industry traded below net asset value. When our common stock is trading below its net asset value per share, we will generally not be able to issue additional shares of our common stock at its market price without first obtaining approval for such issuance from our stockholders and our independent directors. We do not have stockholder approval to sell shares of our common stock at a price below our net asset value per share.</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FATCA withholding may apply to payments to certain foreign entities.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Payments made under the Notes to a foreign financial institution, or “FFI,” or non-financial foreign entity, or “NFFE” (including such an institution or entity acting as an intermediary), may be subject to a U.S. withholding tax of 30% under U.S. Foreign Account Tax Compliance Act provisions of the Code (commonly referred to as “FATCA”). This withholding tax may apply to payments of interest on the Notes as well unless the FFI or NFFE complies with certain information reporting, withholding, identification, certification and related requirements imposed by FATCA. Depending upon the status of a holder and the status of an intermediary through which any Notes are held, the holder could be subject to this 30% withholding tax in respect of any interest paid or deemed paid on the Notes. You should consult your own tax advisors regarding FATCA and how it may affect your investment in the Notes. See “Material United States Federal Income Tax Consequences — Taxation of Note Holders — FATCA Withholding on Payments to Certain Foreign Entities” in this prospectus supplement for more information.</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S-15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There is no active trading market for the Notes. If an active trading market does not develop for the Notes, you may not be able to sell them.</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are a new issue of debt securities for which there currently is no trading market. We do not intend to list the Notes on any securities exchange or for quotation of the Notes on any automated dealer quotation system. If the Notes are traded after their initial issuance, they may trade at a discount to their initial offering price depending on prevailing interest rates, the market for similar securities, our credit ratings, our financial condition, performance and prospects, general economic conditions. Although certain of the underwriters have informed us that they intend to make a market in the Notes, they are not obligated to do so and may discontinue any market-making in the Notes at any time at their sole discretion. Accordingly, we cannot assure you that a liquid trading market will develop or be maintained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S-16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11" w:name="CAUTIONARYNOTE_904079"/>
      <w:bookmarkStart w:id="12" w:name="_234c6b53_92b7_475c_bc9d_f25a866a5bf0"/>
      <w:bookmarkEnd w:id="11"/>
      <w:bookmarkEnd w:id="12"/>
      <w:r>
        <w:rPr>
          <w:rFonts w:ascii="Times New Roman;Times;serif" w:hAnsi="Times New Roman;Times;serif"/>
          <w:b/>
          <w:color w:val="231F20"/>
          <w:sz w:val="20"/>
        </w:rPr>
        <w:t>CAUTIONARY NOTE REGARDING FORWARD-LOOKING STATEMENTS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following discussion should be read in conjunction with our financial statements and related notes and other financial information included or incorporated by reference in this prospectus supplement, the accompanying prospectus, and in any free writing prospectus relating to this offering of the Notes. In addition to historical information, the information included or incorporated by reference in this prospectus supplement, the accompanying prospectus and in any free writing prospectus relating to this offering of the Notes may contain forward-looking information that involves risks and uncertainties. Our actual results could differ materially from those anticipated by such forward-looking information due to the factors described in the section titled “Supplementary Risk Factors” in this prospectus supplement and the section titled “Risk Factors” in our most recent Annual Report on Form 10-K and our most recent Quarterly Report on Form 10-Q, which are incorporated by reference in this prospectus supplement and the accompanying prospectus, or in any free writing prospectus relating to this offering and certain other factors noted throughout or incorporated by reference in this prospectus supplement, the accompanying prospectus and in any free writing prospectus relating to this offering. 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 We undertake no obligation to revise or update any forward-looking statements but advise you to consult any additional disclosures that we may make directly to you or through reports that we may file in the future with the SEC, including annual reports on Form 10-K, quarterly reports on Form 10-Q and current reports on Form 8-K. Accordingly, there are or will be important factors that could cause our actual results to differ materially from those expressed or forecasted in the forward- looking statements, including without limitation:</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political, economic or industry conditions, trade policies, restrictions and tariffs, the interest rate environment or conditions affecting the financial and capital markets;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such an economic downturn could disproportionately impact the companies that we intend to target for investment, potentially causing us to experience a decrease in investment opportunities and diminished demand for capital from these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contraction of available credit and/or an inability to access the equity markets that could impair our lending and investment activities;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interest rate volatility that could adversely affect our results, particularly to the extent that we use leverage as part of our investment strategy;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impact of changes in interest and inflation rates on our business prospects and the prospects of our portfolio companies;</w:t>
            </w:r>
          </w:p>
        </w:tc>
      </w:tr>
    </w:tbl>
    <w:tbl>
      <w:tblPr>
        <w:tblW w:w="2781" w:type="dxa"/>
        <w:jc w:val="left"/>
        <w:tblInd w:w="20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future operating results;</w:t>
            </w:r>
          </w:p>
        </w:tc>
      </w:tr>
    </w:tbl>
    <w:tbl>
      <w:tblPr>
        <w:tblW w:w="6066" w:type="dxa"/>
        <w:jc w:val="left"/>
        <w:tblInd w:w="20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business prospects and the prospects of our portfolio companies;</w:t>
            </w:r>
          </w:p>
        </w:tc>
      </w:tr>
    </w:tbl>
    <w:tbl>
      <w:tblPr>
        <w:tblW w:w="5811" w:type="dxa"/>
        <w:jc w:val="left"/>
        <w:tblInd w:w="20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contractual arrangements and relationships with third parties;</w:t>
            </w:r>
          </w:p>
        </w:tc>
      </w:tr>
    </w:tbl>
    <w:tbl>
      <w:tblPr>
        <w:tblW w:w="5826" w:type="dxa"/>
        <w:jc w:val="left"/>
        <w:tblInd w:w="20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our portfolio companies to achieve their objectives;</w:t>
            </w:r>
          </w:p>
        </w:tc>
      </w:tr>
    </w:tbl>
    <w:tbl>
      <w:tblPr>
        <w:tblW w:w="6861" w:type="dxa"/>
        <w:jc w:val="left"/>
        <w:tblInd w:w="20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competition with other entities and our affiliates for investment opportunities;</w:t>
            </w:r>
          </w:p>
        </w:tc>
      </w:tr>
    </w:tbl>
    <w:tbl>
      <w:tblPr>
        <w:tblW w:w="4926" w:type="dxa"/>
        <w:jc w:val="left"/>
        <w:tblInd w:w="20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speculative and illiquid nature of our investments;</w:t>
            </w:r>
          </w:p>
        </w:tc>
      </w:tr>
    </w:tbl>
    <w:tbl>
      <w:tblPr>
        <w:tblW w:w="5961" w:type="dxa"/>
        <w:jc w:val="left"/>
        <w:tblInd w:w="20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use of borrowed money to finance a portion of our investments;</w:t>
            </w:r>
          </w:p>
        </w:tc>
      </w:tr>
    </w:tbl>
    <w:tbl>
      <w:tblPr>
        <w:tblW w:w="5331" w:type="dxa"/>
        <w:jc w:val="left"/>
        <w:tblInd w:w="20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adequacy of our financing sources and working capital;</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S-17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751" w:type="dxa"/>
        <w:jc w:val="left"/>
        <w:tblInd w:w="20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loss of key personnel and members of our management team;</w:t>
            </w:r>
          </w:p>
        </w:tc>
      </w:tr>
    </w:tbl>
    <w:tbl>
      <w:tblPr>
        <w:tblW w:w="6951" w:type="dxa"/>
        <w:jc w:val="left"/>
        <w:tblInd w:w="20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timing of cash flows, if any, from the operations of our portfolio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our external investment adviser, RGC, to locate suitable investments for us and to monitor and administer our investments;</w:t>
            </w:r>
          </w:p>
        </w:tc>
      </w:tr>
    </w:tbl>
    <w:tbl>
      <w:tblPr>
        <w:tblW w:w="6111" w:type="dxa"/>
        <w:jc w:val="left"/>
        <w:tblInd w:w="20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RGC to attract and retain highly talented professionals;</w:t>
            </w:r>
          </w:p>
        </w:tc>
      </w:tr>
    </w:tbl>
    <w:tbl>
      <w:tblPr>
        <w:tblW w:w="9366" w:type="dxa"/>
        <w:jc w:val="left"/>
        <w:tblInd w:w="20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qualify and maintain our qualification as a RIC under subchapter M of the Code, and as a BDC;</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occurrence of a disaster, such as a cyber-attack against us or against a third party that has access to our data or networks, a natural catastrophe, an industrial accident, failure of our disaster- recovery systems, or consequential employee error;</w:t>
            </w:r>
          </w:p>
        </w:tc>
      </w:tr>
    </w:tbl>
    <w:tbl>
      <w:tblPr>
        <w:tblW w:w="4281" w:type="dxa"/>
        <w:jc w:val="left"/>
        <w:tblInd w:w="20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effect of legal, tax and regulatory changes;</w:t>
            </w:r>
          </w:p>
        </w:tc>
      </w:tr>
    </w:tbl>
    <w:tbl>
      <w:tblPr>
        <w:tblW w:w="5406" w:type="dxa"/>
        <w:jc w:val="left"/>
        <w:tblInd w:w="20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realize the anticipated benefits of the Mergers;</w:t>
            </w:r>
          </w:p>
        </w:tc>
      </w:tr>
    </w:tbl>
    <w:tbl>
      <w:tblPr>
        <w:tblW w:w="5241" w:type="dxa"/>
        <w:jc w:val="left"/>
        <w:tblInd w:w="20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effects of disruption on our business from the Mergers;</w:t>
            </w:r>
          </w:p>
        </w:tc>
      </w:tr>
    </w:tbl>
    <w:tbl>
      <w:tblPr>
        <w:tblW w:w="8436" w:type="dxa"/>
        <w:jc w:val="left"/>
        <w:tblInd w:w="20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combined company’s plans, expectations, objectives and intentions as a result of the Mergers;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risk that stockholder litigation in connection with the Mergers may result in significant costs of defense and liability; and</w:t>
            </w:r>
          </w:p>
        </w:tc>
      </w:tr>
    </w:tbl>
    <w:tbl>
      <w:tblPr>
        <w:tblW w:w="8016" w:type="dxa"/>
        <w:jc w:val="left"/>
        <w:tblInd w:w="20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risks, uncertainties and other factors previously identified elsewhere in this prospectus.</w:t>
            </w:r>
          </w:p>
        </w:tc>
      </w:tr>
    </w:tbl>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should not place undue reliance on these forward-looking statements because the matters they describe are subject to known and unknown risks, uncertainties and other unpredictable factors, many of which are beyond our control. In addition to other information included or incorporated by reference in this prospectus supplement, please read carefully the sections titled “Business,” “Risk Factors” and “Management’s Discussion and Analysis of Financial Condition and Results of Operations” in our most recent Annual Report on Form 10-K, the section titled “Risk Factors” in our most recent Quarterly Report on Form 10-Q, as well as the section titled “Special Note Regarding Forward-Looking Statements” in the accompanying prospectus, before making any investment in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This prospectus supplement, the accompanying prospectus and other statements that we may make, may contain forward-looking statements with respect to future financial or business performance, strategies or expectations. Forward-looking statements are typically identified by words or phrases such as “trend,” “opportunity,” “pipeline,” “believe,” “comfortable,” “expect,” “anticipate,” “current,” “intention,” “estimate,” “position,” “assume,” “plan,” “potential,” “project,” “outlook,” “continue,” “remain,” “maintain,” “sustain,” “seek,” “achieve” and similar expressions, or future or conditional verbs such as “will,” “would,” “should,” “could,” “may” or similar expressions.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do not meet the safe harbor for forward-looking statements pursuant to Section 27A of the Securities Act, or Section 21E of the Exchange Act. Actual results could differ materially from those anticipated in forward- looking statements and future results could differ materially from historical performance. 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supplement, the accompanying prospectus or in periodic reports we file under the Exchange Act.</w:t>
      </w:r>
    </w:p>
    <w:p>
      <w:pPr>
        <w:pStyle w:val="TextBody"/>
        <w:bidi w:val="0"/>
        <w:spacing w:lineRule="auto" w:line="328" w:before="0" w:after="160"/>
        <w:ind w:left="200" w:right="200" w:hanging="0"/>
        <w:jc w:val="left"/>
        <w:rPr>
          <w:color w:val="231F20"/>
        </w:rPr>
      </w:pPr>
      <w:r>
        <w:rPr>
          <w:color w:val="231F20"/>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S-18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13" w:name="USEOFPROCEEDS_327140"/>
      <w:bookmarkStart w:id="14" w:name="_a5e6762f_2afb_4059_9ae9_3d1fbece40df"/>
      <w:bookmarkEnd w:id="13"/>
      <w:bookmarkEnd w:id="14"/>
      <w:r>
        <w:rPr>
          <w:rFonts w:ascii="Times New Roman;Times;serif" w:hAnsi="Times New Roman;Times;serif"/>
          <w:b/>
          <w:color w:val="231F20"/>
          <w:sz w:val="20"/>
        </w:rPr>
        <w:t>USE OF PROCEEDS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estimate that net proceeds we will receive from the sale of the Notes in this offering will be approximately $48.4 million, based on the underwriters purchasing the Notes from us at 97.359% of the aggregate principal amount and after deducting estimated offering expenses of approximately $265,000 (including certain expenses of the underwriters that we will reimburse the underwriters for) payable by us.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intend to use the net proceeds from this offering to repay outstanding indebtedness under our Credit Facility and for our general corporate purposes.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As of May 21, 2026, we had $550.0 million in total commitments available and $410.0 million aggregate principal amount outstanding under the Credit Facility. The availability period under the Credit Facility expires on March 18, 2028 and is followed by a one-year amortization period. The stated maturity date under the Credit Facility is March 18, 2029, unless extended. Borrowings under the Credit Facility bear interest on a per annum rate equal to the adjusted term Secured Overnight Financing Rate plus an applicable margin rate that ranges from 2.95% to 3.35% per annum depending on our leverage ratio and number of eligible loans in the collateral pool. The Credit Facility provides for a variable advance rate of up to 65% on eligible term loans. We also pay an unused commitment fee that ranges from 0.25% to 1.00% per annum based on the total unused lender commitments under the Credit Facility. The Credit Facility is collateralized by all eligible investment assets held by us.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may reborrow under the Credit Facility to make investments in accordance with our investment objective and investment strategy described in this prospectus supplement and the accompanying prospectus, to pay our operating expenses and other cash obligations, and for general corporate purposes, including the repayment of outstanding indebtedness.</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S-19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15" w:name="CAPITALIZATION_625936"/>
      <w:bookmarkStart w:id="16" w:name="_58558c49_847c_4bd3_9de1_b1ae47d4ebf0"/>
      <w:bookmarkEnd w:id="15"/>
      <w:bookmarkEnd w:id="16"/>
      <w:r>
        <w:rPr>
          <w:rFonts w:ascii="Times New Roman;Times;serif" w:hAnsi="Times New Roman;Times;serif"/>
          <w:b/>
          <w:color w:val="231F20"/>
          <w:sz w:val="20"/>
        </w:rPr>
        <w:t>CAPITALIZATION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following table sets forth:</w:t>
      </w:r>
    </w:p>
    <w:tbl>
      <w:tblPr>
        <w:tblW w:w="4671" w:type="dxa"/>
        <w:jc w:val="left"/>
        <w:tblInd w:w="20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actual capitalization as of March 31, 2026;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our capitalization on an as-adjusted basis giving effect to the sale of $50,000,000 aggregate principal amount of Notes in this offering purchased from us by the underwriters and after deducting the underwriting discounts and commissions and estimated offering expenses of approximately $265,000 payable by us and the application of the net proceeds as discussed in more detail under “</w:t>
            </w:r>
            <w:r>
              <w:rPr>
                <w:rFonts w:ascii="Times New Roman;Times;serif" w:hAnsi="Times New Roman;Times;serif"/>
                <w:b w:val="false"/>
                <w:i/>
                <w:color w:val="231F20"/>
                <w:sz w:val="20"/>
              </w:rPr>
              <w:t>Use of Proceeds</w:t>
            </w:r>
            <w:r>
              <w:rPr>
                <w:caps w:val="false"/>
                <w:smallCaps w:val="false"/>
                <w:color w:val="231F20"/>
              </w:rPr>
              <w:t xml:space="preserve">” </w:t>
            </w:r>
            <w:r>
              <w:rPr>
                <w:rFonts w:ascii="Times New Roman;Times;serif" w:hAnsi="Times New Roman;Times;serif"/>
                <w:b w:val="false"/>
                <w:i w:val="false"/>
                <w:caps w:val="false"/>
                <w:smallCaps w:val="false"/>
                <w:color w:val="231F20"/>
                <w:sz w:val="20"/>
              </w:rPr>
              <w:t>in this prospectus supplement.</w:t>
            </w:r>
          </w:p>
        </w:tc>
      </w:tr>
    </w:tbl>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This table should be read in conjunction with “Use of Proceeds” included in this prospectus supplement and “Management’s Discussion and Analysis of Financial Condition and Results of Operations” and our most recent financial statements and notes thereto incorporated by reference in this prospectus supplement and the accompanying prospectus.</w:t>
      </w:r>
    </w:p>
    <w:tbl>
      <w:tblPr>
        <w:tblW w:w="9805" w:type="dxa"/>
        <w:jc w:val="left"/>
        <w:tblInd w:w="200" w:type="dxa"/>
        <w:tblLayout w:type="fixed"/>
        <w:tblCellMar>
          <w:top w:w="0" w:type="dxa"/>
          <w:left w:w="0" w:type="dxa"/>
          <w:bottom w:w="0" w:type="dxa"/>
          <w:right w:w="0" w:type="dxa"/>
        </w:tblCellMar>
      </w:tblPr>
      <w:tblGrid>
        <w:gridCol w:w="6957"/>
        <w:gridCol w:w="346"/>
        <w:gridCol w:w="211"/>
        <w:gridCol w:w="793"/>
        <w:gridCol w:w="346"/>
        <w:gridCol w:w="230"/>
        <w:gridCol w:w="922"/>
      </w:tblGrid>
      <w:tr>
        <w:trPr/>
        <w:tc>
          <w:tcPr>
            <w:tcW w:w="69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ind w:left="0" w:right="0" w:hanging="0"/>
              <w:jc w:val="left"/>
              <w:rPr>
                <w:sz w:val="4"/>
                <w:szCs w:val="4"/>
              </w:rPr>
            </w:pPr>
            <w:r>
              <w:rPr>
                <w:sz w:val="4"/>
                <w:szCs w:val="4"/>
              </w:rPr>
            </w:r>
          </w:p>
        </w:tc>
      </w:tr>
      <w:tr>
        <w:trPr/>
        <w:tc>
          <w:tcPr>
            <w:tcW w:w="6957"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2502" w:type="dxa"/>
            <w:gridSpan w:val="5"/>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As of March 31, 2026</w:t>
            </w:r>
            <w:r>
              <w:rPr>
                <w:rFonts w:ascii="Times New Roman;Times;serif" w:hAnsi="Times New Roman;Times;serif"/>
                <w:b/>
                <w:sz w:val="12"/>
              </w:rPr>
              <w:t>(1)</w:t>
            </w:r>
          </w:p>
        </w:tc>
      </w:tr>
      <w:tr>
        <w:trPr/>
        <w:tc>
          <w:tcPr>
            <w:tcW w:w="6957"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(unaudited)</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0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Actual</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 ​ ​</w:t>
            </w:r>
          </w:p>
        </w:tc>
        <w:tc>
          <w:tcPr>
            <w:tcW w:w="115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As Adjusted</w:t>
            </w:r>
            <w:r>
              <w:rPr>
                <w:rFonts w:ascii="Times New Roman;Times;serif" w:hAnsi="Times New Roman;Times;serif"/>
                <w:b/>
                <w:sz w:val="12"/>
              </w:rPr>
              <w:t>(2)</w:t>
            </w:r>
          </w:p>
        </w:tc>
      </w:tr>
      <w:tr>
        <w:trPr/>
        <w:tc>
          <w:tcPr>
            <w:tcW w:w="6957" w:type="dxa"/>
            <w:tcBorders>
              <w:top w:val="single" w:sz="2" w:space="0" w:color="000000"/>
            </w:tcBorders>
            <w:shd w:fill="CCEEFF" w:val="clear"/>
            <w:tcMar>
              <w:top w:w="28" w:type="dxa"/>
            </w:tcM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793"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30"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922"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r>
      <w:tr>
        <w:trPr/>
        <w:tc>
          <w:tcPr>
            <w:tcW w:w="6957"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Investments,</w:t>
            </w:r>
            <w:r>
              <w:rPr>
                <w:rFonts w:ascii="Aptos" w:hAnsi="Aptos"/>
                <w:spacing w:val="-3"/>
                <w:sz w:val="20"/>
              </w:rPr>
              <w:t xml:space="preserve"> </w:t>
            </w:r>
            <w:r>
              <w:rPr>
                <w:rFonts w:ascii="Times New Roman;Times;serif" w:hAnsi="Times New Roman;Times;serif"/>
                <w:sz w:val="20"/>
              </w:rPr>
              <w:t>at</w:t>
            </w:r>
            <w:r>
              <w:rPr>
                <w:rFonts w:ascii="Aptos" w:hAnsi="Aptos"/>
                <w:spacing w:val="-3"/>
                <w:sz w:val="20"/>
              </w:rPr>
              <w:t xml:space="preserve"> </w:t>
            </w:r>
            <w:r>
              <w:rPr>
                <w:rFonts w:ascii="Times New Roman;Times;serif" w:hAnsi="Times New Roman;Times;serif"/>
                <w:sz w:val="20"/>
              </w:rPr>
              <w:t>fair</w:t>
            </w:r>
            <w:r>
              <w:rPr>
                <w:rFonts w:ascii="Aptos" w:hAnsi="Aptos"/>
                <w:spacing w:val="-3"/>
                <w:sz w:val="20"/>
              </w:rPr>
              <w:t xml:space="preserve"> </w:t>
            </w:r>
            <w:r>
              <w:rPr>
                <w:rFonts w:ascii="Times New Roman;Times;serif" w:hAnsi="Times New Roman;Times;serif"/>
                <w:sz w:val="20"/>
              </w:rPr>
              <w:t>value</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886,346</w:t>
            </w:r>
          </w:p>
        </w:tc>
        <w:tc>
          <w:tcPr>
            <w:tcW w:w="346" w:type="dxa"/>
            <w:tcBorders/>
            <w:vAlign w:val="center"/>
          </w:tcPr>
          <w:p>
            <w:pPr>
              <w:pStyle w:val="TableContents"/>
              <w:bidi w:val="0"/>
              <w:spacing w:lineRule="auto" w:line="328" w:before="0" w:after="16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886,346</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Cash</w:t>
            </w:r>
            <w:r>
              <w:rPr>
                <w:rFonts w:ascii="Aptos" w:hAnsi="Aptos"/>
                <w:spacing w:val="-3"/>
                <w:sz w:val="20"/>
              </w:rPr>
              <w:t xml:space="preserve"> </w:t>
            </w:r>
            <w:r>
              <w:rPr>
                <w:rFonts w:ascii="Times New Roman;Times;serif" w:hAnsi="Times New Roman;Times;serif"/>
                <w:sz w:val="20"/>
              </w:rPr>
              <w:t>and cash</w:t>
            </w:r>
            <w:r>
              <w:rPr>
                <w:rFonts w:ascii="Aptos" w:hAnsi="Aptos"/>
                <w:spacing w:val="-3"/>
                <w:sz w:val="20"/>
              </w:rPr>
              <w:t xml:space="preserve"> </w:t>
            </w:r>
            <w:r>
              <w:rPr>
                <w:rFonts w:ascii="Times New Roman;Times;serif" w:hAnsi="Times New Roman;Times;serif"/>
                <w:sz w:val="20"/>
              </w:rPr>
              <w:t>equivalents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30" w:type="dxa"/>
            <w:tcBorders/>
            <w:shd w:fill="CCEEFF" w:val="clear"/>
            <w:vAlign w:val="center"/>
          </w:tcPr>
          <w:p>
            <w:pPr>
              <w:pStyle w:val="TableContents"/>
              <w:bidi w:val="0"/>
              <w:spacing w:lineRule="auto" w:line="328" w:before="0" w:after="16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2,312</w:t>
            </w:r>
          </w:p>
        </w:tc>
      </w:tr>
      <w:tr>
        <w:trPr/>
        <w:tc>
          <w:tcPr>
            <w:tcW w:w="6957"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Interest</w:t>
            </w:r>
            <w:r>
              <w:rPr>
                <w:rFonts w:ascii="Aptos" w:hAnsi="Aptos"/>
                <w:spacing w:val="-3"/>
                <w:sz w:val="20"/>
              </w:rPr>
              <w:t xml:space="preserve"> </w:t>
            </w:r>
            <w:r>
              <w:rPr>
                <w:rFonts w:ascii="Times New Roman;Times;serif" w:hAnsi="Times New Roman;Times;serif"/>
                <w:sz w:val="20"/>
              </w:rPr>
              <w:t>and</w:t>
            </w:r>
            <w:r>
              <w:rPr>
                <w:rFonts w:ascii="Aptos" w:hAnsi="Aptos"/>
                <w:spacing w:val="-3"/>
                <w:sz w:val="20"/>
              </w:rPr>
              <w:t xml:space="preserve"> </w:t>
            </w:r>
            <w:r>
              <w:rPr>
                <w:rFonts w:ascii="Times New Roman;Times;serif" w:hAnsi="Times New Roman;Times;serif"/>
                <w:sz w:val="20"/>
              </w:rPr>
              <w:t>fees</w:t>
            </w:r>
            <w:r>
              <w:rPr>
                <w:rFonts w:ascii="Aptos" w:hAnsi="Aptos"/>
                <w:spacing w:val="-3"/>
                <w:sz w:val="20"/>
              </w:rPr>
              <w:t xml:space="preserve"> </w:t>
            </w:r>
            <w:r>
              <w:rPr>
                <w:rFonts w:ascii="Times New Roman;Times;serif" w:hAnsi="Times New Roman;Times;serif"/>
                <w:sz w:val="20"/>
              </w:rPr>
              <w:t>receivable</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vAlign w:val="center"/>
          </w:tcPr>
          <w:p>
            <w:pPr>
              <w:pStyle w:val="TableContents"/>
              <w:bidi w:val="0"/>
              <w:spacing w:lineRule="auto" w:line="328" w:before="0" w:after="16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8,540</w:t>
            </w:r>
          </w:p>
        </w:tc>
        <w:tc>
          <w:tcPr>
            <w:tcW w:w="346" w:type="dxa"/>
            <w:tcBorders/>
            <w:vAlign w:val="center"/>
          </w:tcPr>
          <w:p>
            <w:pPr>
              <w:pStyle w:val="TableContents"/>
              <w:bidi w:val="0"/>
              <w:spacing w:lineRule="auto" w:line="328" w:before="0" w:after="160"/>
              <w:ind w:left="0" w:right="0" w:hanging="0"/>
              <w:jc w:val="left"/>
              <w:rPr/>
            </w:pPr>
            <w:r>
              <w:rPr/>
              <w:t>​</w:t>
            </w:r>
          </w:p>
        </w:tc>
        <w:tc>
          <w:tcPr>
            <w:tcW w:w="230" w:type="dxa"/>
            <w:tcBorders/>
            <w:vAlign w:val="center"/>
          </w:tcPr>
          <w:p>
            <w:pPr>
              <w:pStyle w:val="TableContents"/>
              <w:bidi w:val="0"/>
              <w:spacing w:lineRule="auto" w:line="328" w:before="0" w:after="16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8,540</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Deferred</w:t>
            </w:r>
            <w:r>
              <w:rPr>
                <w:rFonts w:ascii="Aptos" w:hAnsi="Aptos"/>
                <w:spacing w:val="-3"/>
                <w:sz w:val="20"/>
              </w:rPr>
              <w:t xml:space="preserve"> </w:t>
            </w:r>
            <w:r>
              <w:rPr>
                <w:rFonts w:ascii="Times New Roman;Times;serif" w:hAnsi="Times New Roman;Times;serif"/>
                <w:sz w:val="20"/>
              </w:rPr>
              <w:t>financing costs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3,895</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30" w:type="dxa"/>
            <w:tcBorders/>
            <w:shd w:fill="CCEEFF" w:val="clear"/>
            <w:vAlign w:val="center"/>
          </w:tcPr>
          <w:p>
            <w:pPr>
              <w:pStyle w:val="TableContents"/>
              <w:bidi w:val="0"/>
              <w:spacing w:lineRule="auto" w:line="328" w:before="0" w:after="16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3,895</w:t>
            </w:r>
          </w:p>
        </w:tc>
      </w:tr>
      <w:tr>
        <w:trPr/>
        <w:tc>
          <w:tcPr>
            <w:tcW w:w="69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3,833</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3,833</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b/>
                <w:sz w:val="20"/>
              </w:rPr>
              <w:t>Total</w:t>
            </w:r>
            <w:r>
              <w:rPr>
                <w:rFonts w:ascii="Aptos" w:hAnsi="Aptos"/>
                <w:spacing w:val="-3"/>
                <w:sz w:val="20"/>
              </w:rPr>
              <w:t xml:space="preserve"> </w:t>
            </w: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904,926</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23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904,926</w:t>
            </w:r>
          </w:p>
        </w:tc>
      </w:tr>
      <w:tr>
        <w:trPr/>
        <w:tc>
          <w:tcPr>
            <w:tcW w:w="6957" w:type="dxa"/>
            <w:tcBorders/>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328" w:before="0" w:after="160"/>
              <w:ind w:left="0" w:right="0" w:hanging="0"/>
              <w:jc w:val="left"/>
              <w:rPr/>
            </w:pPr>
            <w:r>
              <w:rPr/>
              <w:t>​</w:t>
            </w:r>
          </w:p>
        </w:tc>
        <w:tc>
          <w:tcPr>
            <w:tcW w:w="793" w:type="dxa"/>
            <w:tcBorders>
              <w:top w:val="single" w:sz="2" w:space="0" w:color="000000"/>
            </w:tcBorders>
            <w:tcMar>
              <w:top w:w="28" w:type="dxa"/>
            </w:tcMar>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230" w:type="dxa"/>
            <w:tcBorders>
              <w:top w:val="single" w:sz="2" w:space="0" w:color="000000"/>
            </w:tcBorders>
            <w:tcMar>
              <w:top w:w="28" w:type="dxa"/>
            </w:tcMar>
            <w:vAlign w:val="center"/>
          </w:tcPr>
          <w:p>
            <w:pPr>
              <w:pStyle w:val="TableContents"/>
              <w:bidi w:val="0"/>
              <w:spacing w:lineRule="auto" w:line="328" w:before="0" w:after="160"/>
              <w:ind w:left="0" w:right="0" w:hanging="0"/>
              <w:jc w:val="left"/>
              <w:rPr/>
            </w:pPr>
            <w:r>
              <w:rPr/>
              <w:t>​</w:t>
            </w:r>
          </w:p>
        </w:tc>
        <w:tc>
          <w:tcPr>
            <w:tcW w:w="922" w:type="dxa"/>
            <w:tcBorders>
              <w:top w:val="single" w:sz="2" w:space="0" w:color="000000"/>
            </w:tcBorders>
            <w:tcMar>
              <w:top w:w="28" w:type="dxa"/>
            </w:tcMar>
            <w:vAlign w:val="center"/>
          </w:tcPr>
          <w:p>
            <w:pPr>
              <w:pStyle w:val="TableContents"/>
              <w:bidi w:val="0"/>
              <w:spacing w:lineRule="auto" w:line="328" w:before="0" w:after="160"/>
              <w:ind w:left="0" w:right="0" w:hanging="0"/>
              <w:jc w:val="left"/>
              <w:rPr/>
            </w:pPr>
            <w:r>
              <w:rPr/>
              <w:t>​</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Debt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793"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30" w:type="dxa"/>
            <w:tcBorders/>
            <w:shd w:fill="CCEEFF" w:val="clear"/>
            <w:vAlign w:val="center"/>
          </w:tcPr>
          <w:p>
            <w:pPr>
              <w:pStyle w:val="TableContents"/>
              <w:bidi w:val="0"/>
              <w:spacing w:lineRule="auto" w:line="328" w:before="0" w:after="160"/>
              <w:ind w:left="0" w:right="0" w:hanging="0"/>
              <w:jc w:val="left"/>
              <w:rPr/>
            </w:pPr>
            <w:r>
              <w:rPr/>
              <w:t>​</w:t>
            </w:r>
          </w:p>
        </w:tc>
        <w:tc>
          <w:tcPr>
            <w:tcW w:w="922" w:type="dxa"/>
            <w:tcBorders/>
            <w:shd w:fill="CCEEFF" w:val="clear"/>
            <w:vAlign w:val="center"/>
          </w:tcPr>
          <w:p>
            <w:pPr>
              <w:pStyle w:val="TableContents"/>
              <w:bidi w:val="0"/>
              <w:spacing w:lineRule="auto" w:line="328" w:before="0" w:after="160"/>
              <w:ind w:left="0" w:right="0" w:hanging="0"/>
              <w:jc w:val="left"/>
              <w:rPr/>
            </w:pPr>
            <w:r>
              <w:rPr/>
              <w:t>​</w:t>
            </w:r>
          </w:p>
        </w:tc>
      </w:tr>
      <w:tr>
        <w:trPr/>
        <w:tc>
          <w:tcPr>
            <w:tcW w:w="6957"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Credit</w:t>
            </w:r>
            <w:r>
              <w:rPr>
                <w:rFonts w:ascii="Aptos" w:hAnsi="Aptos"/>
                <w:spacing w:val="-3"/>
                <w:sz w:val="20"/>
              </w:rPr>
              <w:t xml:space="preserve"> </w:t>
            </w:r>
            <w:r>
              <w:rPr>
                <w:rFonts w:ascii="Times New Roman;Times;serif" w:hAnsi="Times New Roman;Times;serif"/>
                <w:sz w:val="20"/>
              </w:rPr>
              <w:t>Facility</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180,000</w:t>
            </w:r>
          </w:p>
        </w:tc>
        <w:tc>
          <w:tcPr>
            <w:tcW w:w="346" w:type="dxa"/>
            <w:tcBorders/>
            <w:vAlign w:val="center"/>
          </w:tcPr>
          <w:p>
            <w:pPr>
              <w:pStyle w:val="TableContents"/>
              <w:bidi w:val="0"/>
              <w:spacing w:lineRule="auto" w:line="328" w:before="0" w:after="160"/>
              <w:ind w:left="0" w:right="0" w:hanging="0"/>
              <w:jc w:val="left"/>
              <w:rPr/>
            </w:pPr>
            <w:r>
              <w:rPr/>
              <w:t>​</w:t>
            </w:r>
          </w:p>
        </w:tc>
        <w:tc>
          <w:tcPr>
            <w:tcW w:w="2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131,585</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July</w:t>
            </w:r>
            <w:r>
              <w:rPr>
                <w:rFonts w:ascii="Aptos" w:hAnsi="Aptos"/>
                <w:spacing w:val="-3"/>
                <w:sz w:val="20"/>
              </w:rPr>
              <w:t xml:space="preserve"> </w:t>
            </w:r>
            <w:r>
              <w:rPr>
                <w:rFonts w:ascii="Times New Roman;Times;serif" w:hAnsi="Times New Roman;Times;serif"/>
                <w:sz w:val="20"/>
              </w:rPr>
              <w:t>2027 Notes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40,250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30" w:type="dxa"/>
            <w:tcBorders/>
            <w:shd w:fill="CCEEFF" w:val="clear"/>
            <w:vAlign w:val="center"/>
          </w:tcPr>
          <w:p>
            <w:pPr>
              <w:pStyle w:val="TableContents"/>
              <w:bidi w:val="0"/>
              <w:spacing w:lineRule="auto" w:line="328" w:before="0" w:after="16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40,250</w:t>
            </w:r>
          </w:p>
        </w:tc>
      </w:tr>
      <w:tr>
        <w:trPr/>
        <w:tc>
          <w:tcPr>
            <w:tcW w:w="69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2028 Notes</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vAlign w:val="center"/>
          </w:tcPr>
          <w:p>
            <w:pPr>
              <w:pStyle w:val="TableContents"/>
              <w:bidi w:val="0"/>
              <w:spacing w:lineRule="auto" w:line="328" w:before="0" w:after="16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107,000</w:t>
            </w:r>
          </w:p>
        </w:tc>
        <w:tc>
          <w:tcPr>
            <w:tcW w:w="346" w:type="dxa"/>
            <w:tcBorders/>
            <w:vAlign w:val="center"/>
          </w:tcPr>
          <w:p>
            <w:pPr>
              <w:pStyle w:val="TableContents"/>
              <w:bidi w:val="0"/>
              <w:spacing w:lineRule="auto" w:line="328" w:before="0" w:after="160"/>
              <w:ind w:left="0" w:right="0" w:hanging="0"/>
              <w:jc w:val="left"/>
              <w:rPr/>
            </w:pPr>
            <w:r>
              <w:rPr/>
              <w:t>​</w:t>
            </w:r>
          </w:p>
        </w:tc>
        <w:tc>
          <w:tcPr>
            <w:tcW w:w="230" w:type="dxa"/>
            <w:tcBorders/>
            <w:vAlign w:val="center"/>
          </w:tcPr>
          <w:p>
            <w:pPr>
              <w:pStyle w:val="TableContents"/>
              <w:bidi w:val="0"/>
              <w:spacing w:lineRule="auto" w:line="328" w:before="0" w:after="16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107,000</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February</w:t>
            </w:r>
            <w:r>
              <w:rPr>
                <w:rFonts w:ascii="Aptos" w:hAnsi="Aptos"/>
                <w:spacing w:val="-3"/>
                <w:sz w:val="20"/>
              </w:rPr>
              <w:t xml:space="preserve"> </w:t>
            </w:r>
            <w:r>
              <w:rPr>
                <w:rFonts w:ascii="Times New Roman;Times;serif" w:hAnsi="Times New Roman;Times;serif"/>
                <w:sz w:val="20"/>
              </w:rPr>
              <w:t>2031 Notes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103,250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30" w:type="dxa"/>
            <w:tcBorders/>
            <w:shd w:fill="CCEEFF" w:val="clear"/>
            <w:vAlign w:val="center"/>
          </w:tcPr>
          <w:p>
            <w:pPr>
              <w:pStyle w:val="TableContents"/>
              <w:bidi w:val="0"/>
              <w:spacing w:lineRule="auto" w:line="328" w:before="0" w:after="16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103,250</w:t>
            </w:r>
          </w:p>
        </w:tc>
      </w:tr>
      <w:tr>
        <w:trPr/>
        <w:tc>
          <w:tcPr>
            <w:tcW w:w="6957"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Notes</w:t>
            </w:r>
            <w:r>
              <w:rPr>
                <w:rFonts w:ascii="Aptos" w:hAnsi="Aptos"/>
                <w:spacing w:val="-3"/>
                <w:sz w:val="20"/>
              </w:rPr>
              <w:t xml:space="preserve"> </w:t>
            </w:r>
            <w:r>
              <w:rPr>
                <w:rFonts w:ascii="Times New Roman;Times;serif" w:hAnsi="Times New Roman;Times;serif"/>
                <w:sz w:val="20"/>
              </w:rPr>
              <w:t>offered</w:t>
            </w:r>
            <w:r>
              <w:rPr>
                <w:rFonts w:ascii="Aptos" w:hAnsi="Aptos"/>
                <w:spacing w:val="-3"/>
                <w:sz w:val="20"/>
              </w:rPr>
              <w:t xml:space="preserve"> </w:t>
            </w:r>
            <w:r>
              <w:rPr>
                <w:rFonts w:ascii="Times New Roman;Times;serif" w:hAnsi="Times New Roman;Times;serif"/>
                <w:sz w:val="20"/>
              </w:rPr>
              <w:t>hereby,</w:t>
            </w:r>
            <w:r>
              <w:rPr>
                <w:rFonts w:ascii="Aptos" w:hAnsi="Aptos"/>
                <w:spacing w:val="-3"/>
                <w:sz w:val="20"/>
              </w:rPr>
              <w:t xml:space="preserve"> </w:t>
            </w:r>
            <w:r>
              <w:rPr>
                <w:rFonts w:ascii="Times New Roman;Times;serif" w:hAnsi="Times New Roman;Times;serif"/>
                <w:sz w:val="20"/>
              </w:rPr>
              <w:t>net</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48,415</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Unamortized</w:t>
            </w:r>
            <w:r>
              <w:rPr>
                <w:rFonts w:ascii="Aptos" w:hAnsi="Aptos"/>
                <w:spacing w:val="-3"/>
                <w:sz w:val="20"/>
              </w:rPr>
              <w:t xml:space="preserve"> </w:t>
            </w:r>
            <w:r>
              <w:rPr>
                <w:rFonts w:ascii="Times New Roman;Times;serif" w:hAnsi="Times New Roman;Times;serif"/>
                <w:sz w:val="20"/>
              </w:rPr>
              <w:t>deferred financing</w:t>
            </w:r>
            <w:r>
              <w:rPr>
                <w:rFonts w:ascii="Aptos" w:hAnsi="Aptos"/>
                <w:spacing w:val="-3"/>
                <w:sz w:val="20"/>
              </w:rPr>
              <w:t xml:space="preserve"> </w:t>
            </w:r>
            <w:r>
              <w:rPr>
                <w:rFonts w:ascii="Times New Roman;Times;serif" w:hAnsi="Times New Roman;Times;serif"/>
                <w:sz w:val="20"/>
              </w:rPr>
              <w:t>costs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160"/>
              <w:ind w:left="0" w:right="0" w:hanging="0"/>
              <w:jc w:val="left"/>
              <w:rPr/>
            </w:pPr>
            <w:r>
              <w:rPr/>
              <w:t>​</w:t>
            </w:r>
          </w:p>
        </w:tc>
        <w:tc>
          <w:tcPr>
            <w:tcW w:w="79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(3,556)</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23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328" w:before="0" w:after="160"/>
              <w:ind w:left="0" w:right="0" w:hanging="0"/>
              <w:jc w:val="left"/>
              <w:rPr/>
            </w:pPr>
            <w:r>
              <w:rPr/>
              <w:t>​</w:t>
            </w:r>
          </w:p>
        </w:tc>
        <w:tc>
          <w:tcPr>
            <w:tcW w:w="92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(3,556)</w:t>
            </w:r>
          </w:p>
        </w:tc>
      </w:tr>
      <w:tr>
        <w:trPr/>
        <w:tc>
          <w:tcPr>
            <w:tcW w:w="6957"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Total</w:t>
            </w:r>
            <w:r>
              <w:rPr>
                <w:rFonts w:ascii="Aptos" w:hAnsi="Aptos"/>
                <w:spacing w:val="-5"/>
                <w:sz w:val="20"/>
              </w:rPr>
              <w:t xml:space="preserve"> </w:t>
            </w:r>
            <w:r>
              <w:rPr>
                <w:rFonts w:ascii="Times New Roman;Times;serif" w:hAnsi="Times New Roman;Times;serif"/>
                <w:sz w:val="20"/>
              </w:rPr>
              <w:t>debt,</w:t>
            </w:r>
            <w:r>
              <w:rPr>
                <w:rFonts w:ascii="Aptos" w:hAnsi="Aptos"/>
                <w:spacing w:val="-5"/>
                <w:sz w:val="20"/>
              </w:rPr>
              <w:t xml:space="preserve"> </w:t>
            </w:r>
            <w:r>
              <w:rPr>
                <w:rFonts w:ascii="Times New Roman;Times;serif" w:hAnsi="Times New Roman;Times;serif"/>
                <w:sz w:val="20"/>
              </w:rPr>
              <w:t>less</w:t>
            </w:r>
            <w:r>
              <w:rPr>
                <w:rFonts w:ascii="Aptos" w:hAnsi="Aptos"/>
                <w:spacing w:val="-5"/>
                <w:sz w:val="20"/>
              </w:rPr>
              <w:t xml:space="preserve"> </w:t>
            </w:r>
            <w:r>
              <w:rPr>
                <w:rFonts w:ascii="Times New Roman;Times;serif" w:hAnsi="Times New Roman;Times;serif"/>
                <w:sz w:val="20"/>
              </w:rPr>
              <w:t>unamortized</w:t>
            </w:r>
            <w:r>
              <w:rPr>
                <w:rFonts w:ascii="Aptos" w:hAnsi="Aptos"/>
                <w:spacing w:val="-5"/>
                <w:sz w:val="20"/>
              </w:rPr>
              <w:t xml:space="preserve"> </w:t>
            </w:r>
            <w:r>
              <w:rPr>
                <w:rFonts w:ascii="Times New Roman;Times;serif" w:hAnsi="Times New Roman;Times;serif"/>
                <w:sz w:val="20"/>
              </w:rPr>
              <w:t>deferred</w:t>
            </w:r>
            <w:r>
              <w:rPr>
                <w:rFonts w:ascii="Aptos" w:hAnsi="Aptos"/>
                <w:spacing w:val="-5"/>
                <w:sz w:val="20"/>
              </w:rPr>
              <w:t xml:space="preserve"> </w:t>
            </w:r>
            <w:r>
              <w:rPr>
                <w:rFonts w:ascii="Times New Roman;Times;serif" w:hAnsi="Times New Roman;Times;serif"/>
                <w:sz w:val="20"/>
              </w:rPr>
              <w:t>financing</w:t>
            </w:r>
            <w:r>
              <w:rPr>
                <w:rFonts w:ascii="Aptos" w:hAnsi="Aptos"/>
                <w:spacing w:val="-5"/>
                <w:sz w:val="20"/>
              </w:rPr>
              <w:t xml:space="preserve"> </w:t>
            </w:r>
            <w:r>
              <w:rPr>
                <w:rFonts w:ascii="Times New Roman;Times;serif" w:hAnsi="Times New Roman;Times;serif"/>
                <w:sz w:val="20"/>
              </w:rPr>
              <w:t>costs</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lineRule="auto" w:line="328" w:before="0" w:after="160"/>
              <w:ind w:left="0" w:right="0" w:hanging="0"/>
              <w:jc w:val="left"/>
              <w:rPr/>
            </w:pPr>
            <w:r>
              <w:rPr/>
              <w:t>​</w:t>
            </w:r>
          </w:p>
        </w:tc>
        <w:tc>
          <w:tcPr>
            <w:tcW w:w="793" w:type="dxa"/>
            <w:tcBorders>
              <w:top w:val="single" w:sz="2" w:space="0" w:color="000000"/>
            </w:tcBorders>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426,944</w:t>
            </w:r>
          </w:p>
        </w:tc>
        <w:tc>
          <w:tcPr>
            <w:tcW w:w="346" w:type="dxa"/>
            <w:tcBorders/>
            <w:vAlign w:val="center"/>
          </w:tcPr>
          <w:p>
            <w:pPr>
              <w:pStyle w:val="TableContents"/>
              <w:bidi w:val="0"/>
              <w:spacing w:lineRule="auto" w:line="328" w:before="0" w:after="160"/>
              <w:ind w:left="0" w:right="0" w:hanging="0"/>
              <w:jc w:val="left"/>
              <w:rPr/>
            </w:pPr>
            <w:r>
              <w:rPr/>
              <w:t>​</w:t>
            </w:r>
          </w:p>
        </w:tc>
        <w:tc>
          <w:tcPr>
            <w:tcW w:w="230" w:type="dxa"/>
            <w:tcBorders>
              <w:top w:val="single" w:sz="2" w:space="0" w:color="000000"/>
            </w:tcBorders>
            <w:tcMar>
              <w:top w:w="28" w:type="dxa"/>
            </w:tcMar>
            <w:vAlign w:val="center"/>
          </w:tcPr>
          <w:p>
            <w:pPr>
              <w:pStyle w:val="TableContents"/>
              <w:bidi w:val="0"/>
              <w:spacing w:lineRule="auto" w:line="328" w:before="0" w:after="160"/>
              <w:ind w:left="0" w:right="0" w:hanging="0"/>
              <w:jc w:val="left"/>
              <w:rPr/>
            </w:pPr>
            <w:r>
              <w:rPr/>
              <w:t>​</w:t>
            </w:r>
          </w:p>
        </w:tc>
        <w:tc>
          <w:tcPr>
            <w:tcW w:w="922" w:type="dxa"/>
            <w:tcBorders>
              <w:top w:val="single" w:sz="2" w:space="0" w:color="000000"/>
            </w:tcBorders>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426,944</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Incentive</w:t>
            </w:r>
            <w:r>
              <w:rPr>
                <w:rFonts w:ascii="Aptos" w:hAnsi="Aptos"/>
                <w:spacing w:val="-3"/>
                <w:sz w:val="20"/>
              </w:rPr>
              <w:t xml:space="preserve"> </w:t>
            </w:r>
            <w:r>
              <w:rPr>
                <w:rFonts w:ascii="Times New Roman;Times;serif" w:hAnsi="Times New Roman;Times;serif"/>
                <w:sz w:val="20"/>
              </w:rPr>
              <w:t>fees</w:t>
            </w:r>
            <w:r>
              <w:rPr>
                <w:rFonts w:ascii="Aptos" w:hAnsi="Aptos"/>
                <w:spacing w:val="-3"/>
                <w:sz w:val="20"/>
              </w:rPr>
              <w:t xml:space="preserve"> </w:t>
            </w:r>
            <w:r>
              <w:rPr>
                <w:rFonts w:ascii="Times New Roman;Times;serif" w:hAnsi="Times New Roman;Times;serif"/>
                <w:sz w:val="20"/>
              </w:rPr>
              <w:t>payable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14,851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30" w:type="dxa"/>
            <w:tcBorders/>
            <w:shd w:fill="CCEEFF" w:val="clear"/>
            <w:vAlign w:val="center"/>
          </w:tcPr>
          <w:p>
            <w:pPr>
              <w:pStyle w:val="TableContents"/>
              <w:bidi w:val="0"/>
              <w:spacing w:lineRule="auto" w:line="328" w:before="0" w:after="16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14,851</w:t>
            </w:r>
          </w:p>
        </w:tc>
      </w:tr>
      <w:tr>
        <w:trPr/>
        <w:tc>
          <w:tcPr>
            <w:tcW w:w="6957"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Interest</w:t>
            </w:r>
            <w:r>
              <w:rPr>
                <w:rFonts w:ascii="Aptos" w:hAnsi="Aptos"/>
                <w:spacing w:val="-3"/>
                <w:sz w:val="20"/>
              </w:rPr>
              <w:t xml:space="preserve"> </w:t>
            </w:r>
            <w:r>
              <w:rPr>
                <w:rFonts w:ascii="Times New Roman;Times;serif" w:hAnsi="Times New Roman;Times;serif"/>
                <w:sz w:val="20"/>
              </w:rPr>
              <w:t>payable</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vAlign w:val="center"/>
          </w:tcPr>
          <w:p>
            <w:pPr>
              <w:pStyle w:val="TableContents"/>
              <w:bidi w:val="0"/>
              <w:spacing w:lineRule="auto" w:line="328" w:before="0" w:after="16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7,199</w:t>
            </w:r>
          </w:p>
        </w:tc>
        <w:tc>
          <w:tcPr>
            <w:tcW w:w="346" w:type="dxa"/>
            <w:tcBorders/>
            <w:vAlign w:val="center"/>
          </w:tcPr>
          <w:p>
            <w:pPr>
              <w:pStyle w:val="TableContents"/>
              <w:bidi w:val="0"/>
              <w:spacing w:lineRule="auto" w:line="328" w:before="0" w:after="160"/>
              <w:ind w:left="0" w:right="0" w:hanging="0"/>
              <w:jc w:val="left"/>
              <w:rPr/>
            </w:pPr>
            <w:r>
              <w:rPr/>
              <w:t>​</w:t>
            </w:r>
          </w:p>
        </w:tc>
        <w:tc>
          <w:tcPr>
            <w:tcW w:w="230" w:type="dxa"/>
            <w:tcBorders/>
            <w:vAlign w:val="center"/>
          </w:tcPr>
          <w:p>
            <w:pPr>
              <w:pStyle w:val="TableContents"/>
              <w:bidi w:val="0"/>
              <w:spacing w:lineRule="auto" w:line="328" w:before="0" w:after="16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7,199</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Foreign</w:t>
            </w:r>
            <w:r>
              <w:rPr>
                <w:rFonts w:ascii="Aptos" w:hAnsi="Aptos"/>
                <w:spacing w:val="-4"/>
                <w:sz w:val="20"/>
              </w:rPr>
              <w:t xml:space="preserve"> </w:t>
            </w:r>
            <w:r>
              <w:rPr>
                <w:rFonts w:ascii="Times New Roman;Times;serif" w:hAnsi="Times New Roman;Times;serif"/>
                <w:sz w:val="20"/>
              </w:rPr>
              <w:t>currency</w:t>
            </w:r>
            <w:r>
              <w:rPr>
                <w:rFonts w:ascii="Aptos" w:hAnsi="Aptos"/>
                <w:spacing w:val="-4"/>
                <w:sz w:val="20"/>
              </w:rPr>
              <w:t xml:space="preserve"> </w:t>
            </w:r>
            <w:r>
              <w:rPr>
                <w:rFonts w:ascii="Times New Roman;Times;serif" w:hAnsi="Times New Roman;Times;serif"/>
                <w:sz w:val="20"/>
              </w:rPr>
              <w:t>forward</w:t>
            </w:r>
            <w:r>
              <w:rPr>
                <w:rFonts w:ascii="Aptos" w:hAnsi="Aptos"/>
                <w:spacing w:val="-3"/>
                <w:sz w:val="20"/>
              </w:rPr>
              <w:t xml:space="preserve"> </w:t>
            </w:r>
            <w:r>
              <w:rPr>
                <w:rFonts w:ascii="Times New Roman;Times;serif" w:hAnsi="Times New Roman;Times;serif"/>
                <w:sz w:val="20"/>
              </w:rPr>
              <w:t>contracts</w:t>
            </w:r>
          </w:p>
        </w:tc>
        <w:tc>
          <w:tcPr>
            <w:tcW w:w="346" w:type="dxa"/>
            <w:tcBorders/>
            <w:shd w:fill="CCEEFF" w:val="clear"/>
            <w:vAlign w:val="center"/>
          </w:tcPr>
          <w:p>
            <w:pPr>
              <w:pStyle w:val="TableContents"/>
              <w:bidi w:val="0"/>
              <w:spacing w:lineRule="auto" w:line="328" w:before="0" w:after="160"/>
              <w:ind w:left="0" w:right="0" w:hanging="0"/>
              <w:jc w:val="left"/>
              <w:rPr>
                <w:spacing w:val="-5"/>
              </w:rPr>
            </w:pPr>
            <w:r>
              <w:rPr>
                <w:spacing w:val="-5"/>
              </w:rPr>
              <w:t>​</w:t>
            </w:r>
          </w:p>
        </w:tc>
        <w:tc>
          <w:tcPr>
            <w:tcW w:w="211" w:type="dxa"/>
            <w:tcBorders/>
            <w:shd w:fill="CCEEFF" w:val="clear"/>
            <w:vAlign w:val="center"/>
          </w:tcPr>
          <w:p>
            <w:pPr>
              <w:pStyle w:val="TableContents"/>
              <w:bidi w:val="0"/>
              <w:spacing w:lineRule="auto" w:line="328" w:before="0" w:after="160"/>
              <w:ind w:left="0" w:right="0" w:hanging="0"/>
              <w:jc w:val="left"/>
              <w:rPr>
                <w:spacing w:val="-5"/>
              </w:rPr>
            </w:pPr>
            <w:r>
              <w:rPr>
                <w:spacing w:val="-5"/>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20"/>
              </w:rPr>
            </w:pPr>
            <w:r>
              <w:rPr>
                <w:rFonts w:ascii="Times New Roman;Times;serif" w:hAnsi="Times New Roman;Times;serif"/>
                <w:spacing w:val="-5"/>
                <w:sz w:val="20"/>
              </w:rPr>
              <w:t>176</w:t>
            </w:r>
          </w:p>
        </w:tc>
        <w:tc>
          <w:tcPr>
            <w:tcW w:w="346" w:type="dxa"/>
            <w:tcBorders/>
            <w:shd w:fill="CCEEFF" w:val="clear"/>
            <w:vAlign w:val="center"/>
          </w:tcPr>
          <w:p>
            <w:pPr>
              <w:pStyle w:val="TableContents"/>
              <w:bidi w:val="0"/>
              <w:spacing w:lineRule="auto" w:line="328" w:before="0" w:after="160"/>
              <w:ind w:left="0" w:right="0" w:hanging="0"/>
              <w:jc w:val="left"/>
              <w:rPr>
                <w:spacing w:val="-5"/>
              </w:rPr>
            </w:pPr>
            <w:r>
              <w:rPr>
                <w:spacing w:val="-5"/>
              </w:rPr>
              <w:t>​</w:t>
            </w:r>
          </w:p>
        </w:tc>
        <w:tc>
          <w:tcPr>
            <w:tcW w:w="230" w:type="dxa"/>
            <w:tcBorders/>
            <w:shd w:fill="CCEEFF" w:val="clear"/>
            <w:vAlign w:val="center"/>
          </w:tcPr>
          <w:p>
            <w:pPr>
              <w:pStyle w:val="TableContents"/>
              <w:bidi w:val="0"/>
              <w:spacing w:lineRule="auto" w:line="328" w:before="0" w:after="160"/>
              <w:ind w:left="0" w:right="0" w:hanging="0"/>
              <w:jc w:val="left"/>
              <w:rPr>
                <w:spacing w:val="-5"/>
              </w:rPr>
            </w:pPr>
            <w:r>
              <w:rPr>
                <w:spacing w:val="-5"/>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20"/>
              </w:rPr>
            </w:pPr>
            <w:r>
              <w:rPr>
                <w:rFonts w:ascii="Times New Roman;Times;serif" w:hAnsi="Times New Roman;Times;serif"/>
                <w:spacing w:val="-5"/>
                <w:sz w:val="20"/>
              </w:rPr>
              <w:t>176</w:t>
            </w:r>
          </w:p>
        </w:tc>
      </w:tr>
      <w:tr>
        <w:trPr/>
        <w:tc>
          <w:tcPr>
            <w:tcW w:w="6957"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Secured</w:t>
            </w:r>
            <w:r>
              <w:rPr>
                <w:rFonts w:ascii="Aptos" w:hAnsi="Aptos"/>
                <w:spacing w:val="-3"/>
                <w:sz w:val="20"/>
              </w:rPr>
              <w:t xml:space="preserve"> </w:t>
            </w:r>
            <w:r>
              <w:rPr>
                <w:rFonts w:ascii="Times New Roman;Times;serif" w:hAnsi="Times New Roman;Times;serif"/>
                <w:sz w:val="20"/>
              </w:rPr>
              <w:t>borrowings</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vAlign w:val="center"/>
          </w:tcPr>
          <w:p>
            <w:pPr>
              <w:pStyle w:val="TableContents"/>
              <w:bidi w:val="0"/>
              <w:spacing w:lineRule="auto" w:line="328" w:before="0" w:after="16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14,759</w:t>
            </w:r>
          </w:p>
        </w:tc>
        <w:tc>
          <w:tcPr>
            <w:tcW w:w="346" w:type="dxa"/>
            <w:tcBorders/>
            <w:vAlign w:val="center"/>
          </w:tcPr>
          <w:p>
            <w:pPr>
              <w:pStyle w:val="TableContents"/>
              <w:bidi w:val="0"/>
              <w:spacing w:lineRule="auto" w:line="328" w:before="0" w:after="160"/>
              <w:ind w:left="0" w:right="0" w:hanging="0"/>
              <w:jc w:val="left"/>
              <w:rPr/>
            </w:pPr>
            <w:r>
              <w:rPr/>
              <w:t>​</w:t>
            </w:r>
          </w:p>
        </w:tc>
        <w:tc>
          <w:tcPr>
            <w:tcW w:w="230" w:type="dxa"/>
            <w:tcBorders/>
            <w:vAlign w:val="center"/>
          </w:tcPr>
          <w:p>
            <w:pPr>
              <w:pStyle w:val="TableContents"/>
              <w:bidi w:val="0"/>
              <w:spacing w:lineRule="auto" w:line="328" w:before="0" w:after="16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14,759</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Accrued</w:t>
            </w:r>
            <w:r>
              <w:rPr>
                <w:rFonts w:ascii="Aptos" w:hAnsi="Aptos"/>
                <w:spacing w:val="-3"/>
                <w:sz w:val="20"/>
              </w:rPr>
              <w:t xml:space="preserve"> </w:t>
            </w:r>
            <w:r>
              <w:rPr>
                <w:rFonts w:ascii="Times New Roman;Times;serif" w:hAnsi="Times New Roman;Times;serif"/>
                <w:sz w:val="20"/>
              </w:rPr>
              <w:t>expenses</w:t>
            </w:r>
            <w:r>
              <w:rPr>
                <w:rFonts w:ascii="Aptos" w:hAnsi="Aptos"/>
                <w:spacing w:val="-3"/>
                <w:sz w:val="20"/>
              </w:rPr>
              <w:t xml:space="preserve"> </w:t>
            </w:r>
            <w:r>
              <w:rPr>
                <w:rFonts w:ascii="Times New Roman;Times;serif" w:hAnsi="Times New Roman;Times;serif"/>
                <w:sz w:val="20"/>
              </w:rPr>
              <w:t>and</w:t>
            </w:r>
            <w:r>
              <w:rPr>
                <w:rFonts w:ascii="Aptos" w:hAnsi="Aptos"/>
                <w:spacing w:val="-3"/>
                <w:sz w:val="20"/>
              </w:rPr>
              <w:t xml:space="preserve"> </w:t>
            </w:r>
            <w:r>
              <w:rPr>
                <w:rFonts w:ascii="Times New Roman;Times;serif" w:hAnsi="Times New Roman;Times;serif"/>
                <w:sz w:val="20"/>
              </w:rPr>
              <w:t>other</w:t>
            </w:r>
            <w:r>
              <w:rPr>
                <w:rFonts w:ascii="Aptos" w:hAnsi="Aptos"/>
                <w:spacing w:val="-3"/>
                <w:sz w:val="20"/>
              </w:rPr>
              <w:t xml:space="preserve"> </w:t>
            </w:r>
            <w:r>
              <w:rPr>
                <w:rFonts w:ascii="Times New Roman;Times;serif" w:hAnsi="Times New Roman;Times;serif"/>
                <w:sz w:val="20"/>
              </w:rPr>
              <w:t>liabilities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2,769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30" w:type="dxa"/>
            <w:tcBorders/>
            <w:shd w:fill="CCEEFF" w:val="clear"/>
            <w:vAlign w:val="center"/>
          </w:tcPr>
          <w:p>
            <w:pPr>
              <w:pStyle w:val="TableContents"/>
              <w:bidi w:val="0"/>
              <w:spacing w:lineRule="auto" w:line="328" w:before="0" w:after="16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2,769</w:t>
            </w:r>
          </w:p>
        </w:tc>
      </w:tr>
      <w:tr>
        <w:trPr/>
        <w:tc>
          <w:tcPr>
            <w:tcW w:w="6957"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b/>
                <w:sz w:val="20"/>
              </w:rPr>
              <w:t>Total</w:t>
            </w:r>
            <w:r>
              <w:rPr>
                <w:rFonts w:ascii="Aptos" w:hAnsi="Aptos"/>
                <w:spacing w:val="-3"/>
                <w:sz w:val="20"/>
              </w:rPr>
              <w:t xml:space="preserve"> </w:t>
            </w:r>
            <w:r>
              <w:rPr>
                <w:rFonts w:ascii="Times New Roman;Times;serif" w:hAnsi="Times New Roman;Times;serif"/>
                <w:b/>
                <w:sz w:val="20"/>
              </w:rPr>
              <w:t>liabilities</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466,698</w:t>
            </w:r>
          </w:p>
        </w:tc>
        <w:tc>
          <w:tcPr>
            <w:tcW w:w="346" w:type="dxa"/>
            <w:tcBorders>
              <w:bottom w:val="double" w:sz="6"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466,698</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b/>
                <w:sz w:val="20"/>
              </w:rPr>
              <w:t>Net</w:t>
            </w:r>
            <w:r>
              <w:rPr>
                <w:rFonts w:ascii="Aptos" w:hAnsi="Aptos"/>
                <w:spacing w:val="-5"/>
                <w:sz w:val="20"/>
              </w:rPr>
              <w:t xml:space="preserve"> </w:t>
            </w: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793" w:type="dxa"/>
            <w:tcBorders>
              <w:top w:val="double" w:sz="6"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30" w:type="dxa"/>
            <w:tcBorders>
              <w:top w:val="double" w:sz="6"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922" w:type="dxa"/>
            <w:tcBorders>
              <w:top w:val="double" w:sz="6"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r>
      <w:tr>
        <w:trPr/>
        <w:tc>
          <w:tcPr>
            <w:tcW w:w="6957"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100,000,000 shares authorized; 36,134,037 shares outstanding</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20"/>
              </w:rPr>
            </w:pPr>
            <w:r>
              <w:rPr>
                <w:rFonts w:ascii="Times New Roman;Times;serif" w:hAnsi="Times New Roman;Times;serif"/>
                <w:spacing w:val="-10"/>
                <w:sz w:val="20"/>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20"/>
              </w:rPr>
            </w:pPr>
            <w:r>
              <w:rPr>
                <w:rFonts w:ascii="Times New Roman;Times;serif" w:hAnsi="Times New Roman;Times;serif"/>
                <w:spacing w:val="-5"/>
                <w:sz w:val="20"/>
              </w:rPr>
              <w:t>361</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30"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20"/>
              </w:rPr>
            </w:pPr>
            <w:r>
              <w:rPr>
                <w:rFonts w:ascii="Times New Roman;Times;serif" w:hAnsi="Times New Roman;Times;serif"/>
                <w:spacing w:val="-10"/>
                <w:sz w:val="20"/>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20"/>
              </w:rPr>
            </w:pPr>
            <w:r>
              <w:rPr>
                <w:rFonts w:ascii="Times New Roman;Times;serif" w:hAnsi="Times New Roman;Times;serif"/>
                <w:spacing w:val="-5"/>
                <w:sz w:val="20"/>
              </w:rPr>
              <w:t>361</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Additional</w:t>
            </w:r>
            <w:r>
              <w:rPr>
                <w:rFonts w:ascii="Aptos" w:hAnsi="Aptos"/>
                <w:spacing w:val="-3"/>
                <w:sz w:val="20"/>
              </w:rPr>
              <w:t xml:space="preserve"> </w:t>
            </w:r>
            <w:r>
              <w:rPr>
                <w:rFonts w:ascii="Times New Roman;Times;serif" w:hAnsi="Times New Roman;Times;serif"/>
                <w:sz w:val="20"/>
              </w:rPr>
              <w:t>paid-in</w:t>
            </w:r>
            <w:r>
              <w:rPr>
                <w:rFonts w:ascii="Aptos" w:hAnsi="Aptos"/>
                <w:spacing w:val="-3"/>
                <w:sz w:val="20"/>
              </w:rPr>
              <w:t xml:space="preserve"> </w:t>
            </w:r>
            <w:r>
              <w:rPr>
                <w:rFonts w:ascii="Times New Roman;Times;serif" w:hAnsi="Times New Roman;Times;serif"/>
                <w:sz w:val="20"/>
              </w:rPr>
              <w:t>capital</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534,238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30" w:type="dxa"/>
            <w:tcBorders/>
            <w:shd w:fill="CCEEFF" w:val="clear"/>
            <w:vAlign w:val="center"/>
          </w:tcPr>
          <w:p>
            <w:pPr>
              <w:pStyle w:val="TableContents"/>
              <w:bidi w:val="0"/>
              <w:spacing w:lineRule="auto" w:line="328" w:before="0" w:after="16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534,238</w:t>
            </w:r>
          </w:p>
        </w:tc>
      </w:tr>
      <w:tr>
        <w:trPr/>
        <w:tc>
          <w:tcPr>
            <w:tcW w:w="6957"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Accumulated</w:t>
            </w:r>
            <w:r>
              <w:rPr>
                <w:rFonts w:ascii="Aptos" w:hAnsi="Aptos"/>
                <w:spacing w:val="-6"/>
                <w:sz w:val="20"/>
              </w:rPr>
              <w:t xml:space="preserve"> </w:t>
            </w:r>
            <w:r>
              <w:rPr>
                <w:rFonts w:ascii="Times New Roman;Times;serif" w:hAnsi="Times New Roman;Times;serif"/>
                <w:sz w:val="20"/>
              </w:rPr>
              <w:t>undistributed</w:t>
            </w:r>
            <w:r>
              <w:rPr>
                <w:rFonts w:ascii="Aptos" w:hAnsi="Aptos"/>
                <w:spacing w:val="-6"/>
                <w:sz w:val="20"/>
              </w:rPr>
              <w:t xml:space="preserve"> </w:t>
            </w:r>
            <w:r>
              <w:rPr>
                <w:rFonts w:ascii="Times New Roman;Times;serif" w:hAnsi="Times New Roman;Times;serif"/>
                <w:sz w:val="20"/>
              </w:rPr>
              <w:t>(overdistributed)</w:t>
            </w:r>
            <w:r>
              <w:rPr>
                <w:rFonts w:ascii="Aptos" w:hAnsi="Aptos"/>
                <w:spacing w:val="-6"/>
                <w:sz w:val="20"/>
              </w:rPr>
              <w:t xml:space="preserve"> </w:t>
            </w:r>
            <w:r>
              <w:rPr>
                <w:rFonts w:ascii="Times New Roman;Times;serif" w:hAnsi="Times New Roman;Times;serif"/>
                <w:sz w:val="20"/>
              </w:rPr>
              <w:t>earnings</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(96,371)</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(96,371)</w:t>
            </w:r>
          </w:p>
        </w:tc>
      </w:tr>
      <w:tr>
        <w:trPr/>
        <w:tc>
          <w:tcPr>
            <w:tcW w:w="6957"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Total</w:t>
            </w:r>
            <w:r>
              <w:rPr>
                <w:rFonts w:ascii="Aptos" w:hAnsi="Aptos"/>
                <w:spacing w:val="-3"/>
                <w:sz w:val="20"/>
              </w:rPr>
              <w:t xml:space="preserve"> </w:t>
            </w:r>
            <w:r>
              <w:rPr>
                <w:rFonts w:ascii="Times New Roman;Times;serif" w:hAnsi="Times New Roman;Times;serif"/>
                <w:sz w:val="20"/>
              </w:rPr>
              <w:t>net assets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438,228</w:t>
            </w:r>
          </w:p>
        </w:tc>
        <w:tc>
          <w:tcPr>
            <w:tcW w:w="346" w:type="dxa"/>
            <w:tcBorders>
              <w:bottom w:val="double" w:sz="6"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23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438,228</w:t>
            </w:r>
          </w:p>
        </w:tc>
      </w:tr>
      <w:tr>
        <w:trPr/>
        <w:tc>
          <w:tcPr>
            <w:tcW w:w="6957"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Net</w:t>
            </w:r>
            <w:r>
              <w:rPr>
                <w:rFonts w:ascii="Aptos" w:hAnsi="Aptos"/>
                <w:spacing w:val="-3"/>
                <w:sz w:val="20"/>
              </w:rPr>
              <w:t xml:space="preserve"> </w:t>
            </w:r>
            <w:r>
              <w:rPr>
                <w:rFonts w:ascii="Times New Roman;Times;serif" w:hAnsi="Times New Roman;Times;serif"/>
                <w:sz w:val="20"/>
              </w:rPr>
              <w:t>asset value per</w:t>
            </w:r>
            <w:r>
              <w:rPr>
                <w:rFonts w:ascii="Aptos" w:hAnsi="Aptos"/>
                <w:spacing w:val="-3"/>
                <w:sz w:val="20"/>
              </w:rPr>
              <w:t xml:space="preserve"> </w:t>
            </w:r>
            <w:r>
              <w:rPr>
                <w:rFonts w:ascii="Times New Roman;Times;serif" w:hAnsi="Times New Roman;Times;serif"/>
                <w:sz w:val="20"/>
              </w:rPr>
              <w:t>share</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lineRule="auto" w:line="328" w:before="0" w:after="160"/>
              <w:ind w:left="0" w:right="0" w:hanging="0"/>
              <w:jc w:val="left"/>
              <w:rPr/>
            </w:pPr>
            <w:r>
              <w:rPr/>
              <w:t>​</w:t>
            </w:r>
          </w:p>
        </w:tc>
        <w:tc>
          <w:tcPr>
            <w:tcW w:w="793" w:type="dxa"/>
            <w:tcBorders>
              <w:top w:val="double" w:sz="6" w:space="0" w:color="000000"/>
            </w:tcBorders>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12.13</w:t>
            </w:r>
          </w:p>
        </w:tc>
        <w:tc>
          <w:tcPr>
            <w:tcW w:w="346" w:type="dxa"/>
            <w:tcBorders/>
            <w:vAlign w:val="center"/>
          </w:tcPr>
          <w:p>
            <w:pPr>
              <w:pStyle w:val="TableContents"/>
              <w:bidi w:val="0"/>
              <w:spacing w:lineRule="auto" w:line="328" w:before="0" w:after="160"/>
              <w:ind w:left="0" w:right="0" w:hanging="0"/>
              <w:jc w:val="left"/>
              <w:rPr/>
            </w:pPr>
            <w:r>
              <w:rPr/>
              <w:t>​</w:t>
            </w:r>
          </w:p>
        </w:tc>
        <w:tc>
          <w:tcPr>
            <w:tcW w:w="230" w:type="dxa"/>
            <w:tcBorders>
              <w:top w:val="double" w:sz="6" w:space="0" w:color="000000"/>
            </w:tcBorders>
            <w:tcMar>
              <w:top w:w="28" w:type="dxa"/>
            </w:tcMar>
            <w:vAlign w:val="center"/>
          </w:tcPr>
          <w:p>
            <w:pPr>
              <w:pStyle w:val="TableContents"/>
              <w:bidi w:val="0"/>
              <w:spacing w:lineRule="auto" w:line="328" w:before="0" w:after="160"/>
              <w:ind w:left="0" w:right="0" w:hanging="0"/>
              <w:jc w:val="left"/>
              <w:rPr/>
            </w:pPr>
            <w:r>
              <w:rPr/>
              <w:t>​</w:t>
            </w:r>
          </w:p>
        </w:tc>
        <w:tc>
          <w:tcPr>
            <w:tcW w:w="922" w:type="dxa"/>
            <w:tcBorders>
              <w:top w:val="double" w:sz="6" w:space="0" w:color="000000"/>
            </w:tcBorders>
            <w:tcMar>
              <w:top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12.13</w:t>
            </w:r>
          </w:p>
        </w:tc>
      </w:tr>
    </w:tbl>
    <w:tbl>
      <w:tblPr>
        <w:tblW w:w="4172" w:type="dxa"/>
        <w:jc w:val="left"/>
        <w:tblInd w:w="200" w:type="dxa"/>
        <w:tblLayout w:type="fixed"/>
        <w:tblCellMar>
          <w:top w:w="0" w:type="dxa"/>
          <w:left w:w="0" w:type="dxa"/>
          <w:bottom w:w="0" w:type="dxa"/>
          <w:right w:w="0" w:type="dxa"/>
        </w:tblCellMar>
      </w:tblPr>
      <w:tblGrid>
        <w:gridCol w:w="346"/>
        <w:gridCol w:w="3826"/>
      </w:tblGrid>
      <w:tr>
        <w:trPr/>
        <w:tc>
          <w:tcPr>
            <w:tcW w:w="346"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382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thousands, except share and per share data.</w:t>
            </w:r>
          </w:p>
        </w:tc>
      </w:tr>
    </w:tbl>
    <w:tbl>
      <w:tblPr>
        <w:tblW w:w="9805" w:type="dxa"/>
        <w:jc w:val="left"/>
        <w:tblInd w:w="200" w:type="dxa"/>
        <w:tblLayout w:type="fixed"/>
        <w:tblCellMar>
          <w:top w:w="0" w:type="dxa"/>
          <w:left w:w="0" w:type="dxa"/>
          <w:bottom w:w="0" w:type="dxa"/>
          <w:right w:w="0" w:type="dxa"/>
        </w:tblCellMar>
      </w:tblPr>
      <w:tblGrid>
        <w:gridCol w:w="298"/>
        <w:gridCol w:w="9507"/>
      </w:tblGrid>
      <w:tr>
        <w:trPr/>
        <w:tc>
          <w:tcPr>
            <w:tcW w:w="298" w:type="dxa"/>
            <w:tcBorders/>
            <w:vAlign w:val="center"/>
          </w:tcPr>
          <w:p>
            <w:pPr>
              <w:pStyle w:val="TableContents"/>
              <w:bidi w:val="0"/>
              <w:spacing w:lineRule="auto" w:line="285" w:before="0" w:after="0"/>
              <w:jc w:val="left"/>
              <w:rPr>
                <w:rFonts w:ascii="Times New Roman;Times;serif" w:hAnsi="Times New Roman;Times;serif"/>
                <w:color w:val="231F20"/>
                <w:sz w:val="20"/>
              </w:rPr>
            </w:pPr>
            <w:r>
              <w:rPr>
                <w:rFonts w:ascii="Times New Roman;Times;serif" w:hAnsi="Times New Roman;Times;serif"/>
                <w:color w:val="231F20"/>
                <w:sz w:val="20"/>
              </w:rPr>
              <w:t>(2)</w:t>
            </w:r>
          </w:p>
        </w:tc>
        <w:tc>
          <w:tcPr>
            <w:tcW w:w="9507" w:type="dxa"/>
            <w:tcBorders/>
            <w:vAlign w:val="center"/>
          </w:tcPr>
          <w:p>
            <w:pPr>
              <w:pStyle w:val="TableContents"/>
              <w:bidi w:val="0"/>
              <w:spacing w:lineRule="auto" w:line="285" w:before="0" w:after="0"/>
              <w:jc w:val="left"/>
              <w:rPr>
                <w:rFonts w:ascii="Times New Roman;Times;serif" w:hAnsi="Times New Roman;Times;serif"/>
                <w:color w:val="231F20"/>
                <w:sz w:val="20"/>
              </w:rPr>
            </w:pPr>
            <w:r>
              <w:rPr>
                <w:rFonts w:ascii="Times New Roman;Times;serif" w:hAnsi="Times New Roman;Times;serif"/>
                <w:color w:val="231F20"/>
                <w:sz w:val="20"/>
              </w:rPr>
              <w:t>Does not reflect the impact of the Mergers, pursuant to which the Company (i) issued 6,330,509 shares of its common stock and (ii) acquired approximately $268.1 million of assets and assumed $34.0 million in liabilities, including $33.0 million aggregate principal amount of the SWK 2027 Notes from SWK on April 6, 2026. The value of such assets acquired and such liabilities assumed are subject to finalization of the Company’s purchase accounting procedures and therefore are subject to change.</w:t>
            </w:r>
          </w:p>
        </w:tc>
      </w:tr>
    </w:tbl>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S-20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17" w:name="DESCRIPTIONOFTHENOTES_961283"/>
      <w:bookmarkEnd w:id="17"/>
      <w:r>
        <w:rPr>
          <w:rFonts w:ascii="Times New Roman;Times;serif" w:hAnsi="Times New Roman;Times;serif"/>
          <w:b/>
          <w:color w:val="231F20"/>
          <w:sz w:val="20"/>
        </w:rPr>
        <w:t>DESCRIPTION OF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This prospectus supplement sets forth certain terms of the Notes that we are offering pursuant to this prospectus supplement. This description supplements, and to the extent inconsistent therewith, replaces the descriptions of the general terms and provisions contained in “Description of our Debt Securities” in the accompanying prospectus.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will be issued under a base indenture, dated as of July 28, 2022, and the fourth supplemental indenture thereto, to be entered into between us and U.S. Bank Trust Company, National Association, as trustee (the “Trustee”). The terms of the Notes include those stated in the Indenture (as defined below) and those made a part of the Indenture by reference to the Trust Indenture Act of 1939, as amended. As used in this section, all references to “Indenture” mean the indenture as supplemented by the fourth supplemental indenture, and all references to “we,” “our” and “us” mean Runway Growth Finance Corp., a Maryland corporation, exclusive of our subsidiaries, unless we specify otherwise.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Because this section is a summary, it does not describe every aspect of the Notes and the Indenture. We urge you to read the Indenture because it, and not this description, defines your rights as a holder of Notes. For example, in this section, we use capitalized words to signify terms that are specifically defined in the Indenture. Some of the definitions are repeated in this prospectus supplement, but for the rest you will need to read the Indenture. You may obtain a copy of the Indenture from us without charge. See “Available Information” in the accompanying prospectus.</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General</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w:t>
      </w:r>
    </w:p>
    <w:tbl>
      <w:tblPr>
        <w:tblW w:w="5421" w:type="dxa"/>
        <w:jc w:val="left"/>
        <w:tblInd w:w="20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will be issued in an initial principal amount of $50,000,000;</w:t>
            </w:r>
          </w:p>
        </w:tc>
      </w:tr>
    </w:tbl>
    <w:tbl>
      <w:tblPr>
        <w:tblW w:w="6081" w:type="dxa"/>
        <w:jc w:val="left"/>
        <w:tblInd w:w="20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will mature on December 1, 2029, unless redeemed prior to maturity;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will bear cash interest from May 29, 2026, at an annual rate of 7.00% payable semi-annually in arrears on June 1 and December 1 of each year, beginning on December 1, 2026;</w:t>
            </w:r>
          </w:p>
        </w:tc>
      </w:tr>
    </w:tbl>
    <w:tbl>
      <w:tblPr>
        <w:tblW w:w="8871" w:type="dxa"/>
        <w:jc w:val="left"/>
        <w:tblInd w:w="20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will be issued in minimum denominations of $2,000 and integral multiples of $1,000 in excess thereof;</w:t>
            </w:r>
          </w:p>
        </w:tc>
      </w:tr>
    </w:tbl>
    <w:tbl>
      <w:tblPr>
        <w:tblW w:w="9801" w:type="dxa"/>
        <w:jc w:val="left"/>
        <w:tblInd w:w="20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will be redeemable at our option as described in this prospectus supplement under “— Optional Redemption”;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will be subject to repurchase by us at the option of the holders following a Change of Control Repurchase Event at a repurchase price equal to 100% of the principal amount of the Notes to be repurchased, plus accrued and unpaid interest to, but excluding, the date of repurchase.</w:t>
            </w:r>
          </w:p>
        </w:tc>
      </w:tr>
    </w:tbl>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will be our direct unsecured obligations and will rank:</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color w:val="231F20"/>
                <w:sz w:val="20"/>
              </w:rPr>
              <w:t xml:space="preserve">pari passu </w:t>
            </w:r>
            <w:r>
              <w:rPr>
                <w:rFonts w:ascii="Times New Roman;Times;serif" w:hAnsi="Times New Roman;Times;serif"/>
                <w:b w:val="false"/>
                <w:i w:val="false"/>
                <w:caps w:val="false"/>
                <w:smallCaps w:val="false"/>
                <w:color w:val="231F20"/>
                <w:sz w:val="20"/>
              </w:rPr>
              <w:t>with current and future unsecured unsubordinated indebtedness, including the July 2027 Notes, SWK 2027 Notes, April 2028 Notes and February 2031 Notes;</w:t>
            </w:r>
          </w:p>
        </w:tc>
      </w:tr>
    </w:tbl>
    <w:tbl>
      <w:tblPr>
        <w:tblW w:w="6096" w:type="dxa"/>
        <w:jc w:val="left"/>
        <w:tblInd w:w="20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senior to any series of preferred stock that we may issue in the future;</w:t>
            </w:r>
          </w:p>
        </w:tc>
      </w:tr>
    </w:tbl>
    <w:tbl>
      <w:tblPr>
        <w:tblW w:w="8196" w:type="dxa"/>
        <w:jc w:val="left"/>
        <w:tblInd w:w="20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senior to any of our future indebtedness that expressly provides it is subordinated to the Notes;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effectively subordinated to all of our existing and future secured indebtedness (including indebtedness that is initially unsecured to which we subsequently grant security), to the extent of the value of the assets securing such indebtedness, including debt outstanding under our Credit Facility;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structurally subordinated to all existing and future indebtedness and other obligations of any of our subsidiaries, financing vehicles or similar facilities, including debt outstanding under our Credit Facility.</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S-21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As of May 21, 2026, our total indebtedness was approximately $693.5 million, $410.0 million of which was secured. After giving effect to the issuance of the Notes, assuming no repayment of indebtedness with the use of proceeds from this offering, our total indebtedness would have been approximately $743.5 million aggregate principal amount outstanding as of May 21, 2026.</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Our subsidiaries are separate and distinct legal entities and have no obligation, contingent or otherwise, to pay any amounts due on the Notes or to make any funds available for payment on the Notes, whether by dividends, loans or other payments. In addition, the payment of dividends and the making of loans and advances to us by our subsidiaries may be subject to statutory, contractual or other restrictions, may depend on the earnings or financial condition of all of the foregoing and are subject to various business considerations. As a result, we may be unable to gain significant, if any, access to the cash flow or assets of our subsidiaries.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Indenture does not limit the amount of debt (secured and unsecured) that we and our subsidiaries may incur or our ability to pay dividends, sell assets, enter into transactions with affiliates or make investments. In addition, the Indenture does not contain any provisions that would necessarily protect holders of Notes if we become involved in a highly leveraged transaction, reorganization, merger or other similar transaction that adversely affects us or them.</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Notes will be issued in fully registered form only, without coupons, in minimum denominations of $2,000 and integral multiples thereof in denominations of $1,000. The Notes will be represented by one or more global notes deposited with or on behalf of DTC, or a nominee thereof. Except as otherwise provided in the Indenture, the Notes will be registered in the name of that depositary or its nominee, and you will not receive certificates for the Notes. 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are permitted, under specified conditions, to issue multiple classes of indebtedness if our asset coverage, as defined in the 1940 Act, is at least equal to 150% immediately after each such issuance. We may also borrow amounts up to 5% of the value of our total assets for temporary purposes without regard to asset coverage. For a discussion of the risks associated with leverage,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our most recent Annual Report on Form 10-K.</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Interest Provisions Related to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Interest on the Notes will accrue at the rate of 7.00% per annum and will be payable semi-annually on each June 1 and December 1, commencing on December 1, 2026. The initial interest period will be the period from and including the original issue date to, but excluding, the initial interest payment date, and the subsequent interest periods will be the periods from and including an interest payment date to, but excluding, the next interest payment date or the stated maturity date, as the case may be. We will pay interest to those persons who were holders of record of such Notes on the first day of the month during which each interest payment date occurs: each May 15 and November 15, commencing November 15, 2026.</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Interest on the Notes will accrue from the date of original issuance and will be computed on the basis of a 360-day year comprised of twelve 30-day months. We will not provide a sinking fund for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Interest payments will be made only on a business day, defined in the Indenture as each Monday, Tuesday, Wednesday, Thursday and Friday that is not a day on which banking institutions in New York City, Chicago or the place of payment are authorized or required by law or executive order to close. If any interest payment is due on a non-business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Trustee will have no obligation to calculate or verify the calculation of the accrued and unpaid interest or any premium payable on the Notes.</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S-22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b/>
          <w:color w:val="231F20"/>
          <w:sz w:val="20"/>
        </w:rPr>
      </w:pPr>
      <w:r>
        <w:rPr>
          <w:rFonts w:ascii="Times New Roman;Times;serif" w:hAnsi="Times New Roman;Times;serif"/>
          <w:b/>
          <w:color w:val="231F20"/>
          <w:sz w:val="20"/>
        </w:rPr>
        <w:t>Book-entry and other indirect holders should consult their banks or brokers for information on how they will receive payments on their Notes.</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Optional Redemption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Prior to the Par Call Date, we may redeem the Notes at our option, in whole or in part, at any time and from time to time, at a redemption price (expressed as a percentage of the principal amount and rounded to three decimal places) equal to the greater of: (1)(a) the sum of the present values of the remaining scheduled payments of principal and interest thereon discounted to the redemption date on a semi-annual basis at the Treasury Rate plus 50 basis points less (b) interest accrued to the date of redemption, and (2) 100% of the principal amount of the Notes to be redeemed, plus, in either case, accrued and unpaid interest thereon to, but not including, the redemption date.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On or after the Par Call Date, we may redeem the Notes, in whole or in part, at any time and from time to time, at a redemption price equal to 100% of the principal amount of the Notes being redeemed plus accrued and unpaid interest.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For purposes of calculating the redemption price in connection with the redemption of the Notes, on any redemption date, the following terms have the meanings set forth below:</w:t>
      </w:r>
    </w:p>
    <w:p>
      <w:pPr>
        <w:pStyle w:val="TextBody"/>
        <w:bidi w:val="0"/>
        <w:spacing w:lineRule="auto" w:line="285" w:before="0" w:after="240"/>
        <w:ind w:left="200" w:right="200" w:firstLine="360"/>
        <w:jc w:val="left"/>
        <w:rPr>
          <w:color w:val="231F20"/>
        </w:rPr>
      </w:pPr>
      <w:r>
        <w:rPr>
          <w:color w:val="231F20"/>
        </w:rPr>
        <w:t>“</w:t>
      </w:r>
      <w:r>
        <w:rPr>
          <w:rFonts w:ascii="Times New Roman;Times;serif" w:hAnsi="Times New Roman;Times;serif"/>
          <w:color w:val="231F20"/>
          <w:sz w:val="20"/>
        </w:rPr>
        <w:t>Treasury Rate” means, with respect to any redemption date, the yield determined by us in accordance with the following two paragraphs.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Our actions and determinations in determining the redemption price shall be conclusive and binding for all purposes, absent manifest error.</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S-23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Unless we default in payment of the redemption price, on and after the redemption date interest will cease to accrue on the Notes or portions thereof called for redemption.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exercise of our option to redeem the Notes will be done in compliance with the 1940 Act, to the extent applicable.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Other than as described under “— Offer to Repurchase Upon a Change of Control Repurchase Event,” holders will not have the option to have the Notes repaid prior to the stated maturity date.</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Certain Covenants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addition to standard covenants relating to payment of principal and interest, maintaining an office where payments may be made or securities surrendered for payment, payment of taxes and related matters, the following covenants apply to the Notes.</w:t>
      </w:r>
    </w:p>
    <w:p>
      <w:pPr>
        <w:pStyle w:val="TextBody"/>
        <w:bidi w:val="0"/>
        <w:spacing w:lineRule="auto" w:line="285"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Reporting</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have agreed to provide to holders of the Notes and the Trustee (if at any time when Notes are outstanding we are not subject to the reporting requirements of Sections 13 or 15(d) of the Exchange Act to file any periodic reports with the SEC) our audited annual financial statements within 90 days of our fiscal year end and unaudited interim financial statements within 45 days of our fiscal quarter end (other than our fourth fiscal quarter). All such financial statements will be prepared, in all material respects, in accordance with applicable United States generally accepted accounting principles.</w:t>
      </w:r>
    </w:p>
    <w:p>
      <w:pPr>
        <w:pStyle w:val="TextBody"/>
        <w:bidi w:val="0"/>
        <w:spacing w:lineRule="auto" w:line="285"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1940 Act Compliance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indebtedness, including through the issuance of additional debt securities, unless our asset coverage, as defined in the 1940 Act, equals at least 150% after such borrowings.</w:t>
      </w:r>
    </w:p>
    <w:p>
      <w:pPr>
        <w:pStyle w:val="TextBody"/>
        <w:bidi w:val="0"/>
        <w:spacing w:lineRule="auto" w:line="285"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Dividends on our Common Stock</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agree that, for the period of time during which the Notes are outstanding, we will not violate Section 18(a)(1)(B) as modified by (i) Section 61(a)(2) of the 1940 Act or any successor provisions and after giving effect to any exemptive relief granted to us by the SEC and (ii) the exceptions described in this paragraph.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Offer to Repurchase Upon a Change of Control Repurchase Event</w:t>
      </w:r>
    </w:p>
    <w:p>
      <w:pPr>
        <w:pStyle w:val="TextBody"/>
        <w:bidi w:val="0"/>
        <w:spacing w:lineRule="auto" w:line="285" w:before="0" w:after="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 xml:space="preserve">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not including, the date of repurchase. Within 30 days following any Change of Control Repurchase Event or, at our option, prior to any Change of Control (as defined below), but after the public announcement of the Change of Control, we will mail a notice to each holder (with a copy to the Trustee) describing the transaction or transactions that constitute or may constitute the Change of Control Repurchase Event and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S-24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color w:val="231F20"/>
          <w:sz w:val="20"/>
        </w:rPr>
      </w:pPr>
      <w:r>
        <w:rPr>
          <w:rFonts w:ascii="Times New Roman;Times;serif" w:hAnsi="Times New Roman;Times;serif"/>
          <w:color w:val="231F20"/>
          <w:sz w:val="20"/>
        </w:rPr>
        <w:t>offering to repurchase Notes on the payment date specified in the notice, which date will be no earlier than 30 days and no later than 60 days from the date such notice is mailed. The notice will, if mailed prior to the date of consummation of the Change of Control, state that the offer to purchase is conditioned on the Change of Control Repurchase Event occurring on or prior to the payment date specified in the notice. We will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On the Change of Control Repurchase Event payment date, subject to extension if necessary to comply with the provisions of the 1940 Act and the rules and regulations promulgated thereunder, we will, to the extent lawful:</w:t>
      </w:r>
    </w:p>
    <w:tbl>
      <w:tblPr>
        <w:tblW w:w="7806" w:type="dxa"/>
        <w:jc w:val="left"/>
        <w:tblInd w:w="200" w:type="dxa"/>
        <w:tblLayout w:type="fixed"/>
        <w:tblCellMar>
          <w:top w:w="0" w:type="dxa"/>
          <w:left w:w="0" w:type="dxa"/>
          <w:bottom w:w="0" w:type="dxa"/>
          <w:right w:w="0" w:type="dxa"/>
        </w:tblCellMar>
      </w:tblPr>
      <w:tblGrid>
        <w:gridCol w:w="124"/>
        <w:gridCol w:w="331"/>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(1)</w:t>
            </w:r>
          </w:p>
        </w:tc>
        <w:tc>
          <w:tcPr>
            <w:tcW w:w="7351"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accept for payment all Notes or portions of Notes properly tendered pursuant to our offer;</w:t>
            </w:r>
          </w:p>
        </w:tc>
      </w:tr>
    </w:tbl>
    <w:tbl>
      <w:tblPr>
        <w:tblW w:w="9805" w:type="dxa"/>
        <w:jc w:val="left"/>
        <w:tblInd w:w="200" w:type="dxa"/>
        <w:tblLayout w:type="fixed"/>
        <w:tblCellMar>
          <w:top w:w="0" w:type="dxa"/>
          <w:left w:w="0" w:type="dxa"/>
          <w:bottom w:w="0" w:type="dxa"/>
          <w:right w:w="0" w:type="dxa"/>
        </w:tblCellMar>
      </w:tblPr>
      <w:tblGrid>
        <w:gridCol w:w="124"/>
        <w:gridCol w:w="317"/>
        <w:gridCol w:w="9364"/>
      </w:tblGrid>
      <w:tr>
        <w:trPr/>
        <w:tc>
          <w:tcPr>
            <w:tcW w:w="1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(2)</w:t>
            </w:r>
          </w:p>
        </w:tc>
        <w:tc>
          <w:tcPr>
            <w:tcW w:w="9364"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deposit with the paying agent an amount equal to the aggregate purchase price in respect of all Notes or portions of Notes properly tendered; and</w:t>
            </w:r>
          </w:p>
        </w:tc>
      </w:tr>
    </w:tbl>
    <w:tbl>
      <w:tblPr>
        <w:tblW w:w="9805" w:type="dxa"/>
        <w:jc w:val="left"/>
        <w:tblInd w:w="200" w:type="dxa"/>
        <w:tblLayout w:type="fixed"/>
        <w:tblCellMar>
          <w:top w:w="0" w:type="dxa"/>
          <w:left w:w="0" w:type="dxa"/>
          <w:bottom w:w="0" w:type="dxa"/>
          <w:right w:w="0" w:type="dxa"/>
        </w:tblCellMar>
      </w:tblPr>
      <w:tblGrid>
        <w:gridCol w:w="124"/>
        <w:gridCol w:w="307"/>
        <w:gridCol w:w="93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(3)</w:t>
            </w:r>
          </w:p>
        </w:tc>
        <w:tc>
          <w:tcPr>
            <w:tcW w:w="9374"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deliver or cause to be delivered to the Trustee the Notes properly accepted, together with an officers’ certificate stating the aggregate principal amount of Notes being purchased by us.</w:t>
            </w:r>
          </w:p>
        </w:tc>
      </w:tr>
    </w:tbl>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Upon receipt from us, the paying agent will promptly remit to each holder of Notes properly tendered the purchase price for the Notes, and upon receipt of written direction from us, the Trustee will promptly authenticate and mail (or cause to be transferred by book-entry) to each holder a new Note equal in principal amount to any unpurchased portion of any Notes surrendered; </w:t>
      </w:r>
      <w:r>
        <w:rPr>
          <w:rFonts w:ascii="Times New Roman;Times;serif" w:hAnsi="Times New Roman;Times;serif"/>
          <w:i/>
          <w:color w:val="231F20"/>
          <w:sz w:val="20"/>
        </w:rPr>
        <w:t xml:space="preserve">provided </w:t>
      </w:r>
      <w:r>
        <w:rPr>
          <w:rFonts w:ascii="Times New Roman;Times;serif" w:hAnsi="Times New Roman;Times;serif"/>
          <w:color w:val="231F20"/>
          <w:sz w:val="20"/>
        </w:rPr>
        <w:t>that each new Note will be in a minimum principal amount of $2,000 or an integral multiple of $1,000 in excess thereof.</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certain of our and our subsidiaries’ financing arrangements provide that certain change of control events will constitute an event of default thereunder entitling the lenders to accelerate any indebtedness outstanding under our and our subsidiaries’ financing arrangements at that time and to terminate the financing arrangements. See “Management’s Discussion and Analysis of Financial Condition and Results of Operations-Liquidity and Capital Resources” in our most recent Annual Report on Form 10-K and our most recent Quarterly Report on Form 10-Q for a general discussion of our and our subsidiaries’ indebtedness, which are incorporated by reference into this prospectus supplement. Our and our subsidiaries’ future financing arrangements may contain similar restrictions and provisions. If the holders of the Notes exercise their right to require us to repurchase Notes upon a Change of Control Repurchase Event, the financial effect of this repurchase could cause a default under our and our subsidiaries’ future financing arrangements, even if the Change of Control Repurchase Event itself would not cause a default. It is possible that we will not have sufficient funds at the time of the Change of Control Repurchase Event to make the required repurchase of the Notes and/or our and our subsidiaries’ other debt. See “Risk Factors — Risks Related to the Notes — We may not be able to repurchase the Notes upon a Change of Control Repurchase Event” in this prospectus supplement for more information.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S-25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For purposes of the Notes:</w:t>
      </w:r>
    </w:p>
    <w:p>
      <w:pPr>
        <w:pStyle w:val="TextBody"/>
        <w:bidi w:val="0"/>
        <w:spacing w:lineRule="auto" w:line="285" w:before="0" w:after="240"/>
        <w:ind w:left="200" w:right="200" w:firstLine="360"/>
        <w:jc w:val="left"/>
        <w:rPr>
          <w:color w:val="231F20"/>
        </w:rPr>
      </w:pPr>
      <w:r>
        <w:rPr>
          <w:color w:val="231F20"/>
        </w:rPr>
        <w:t>“</w:t>
      </w:r>
      <w:r>
        <w:rPr>
          <w:rFonts w:ascii="Times New Roman;Times;serif" w:hAnsi="Times New Roman;Times;serif"/>
          <w:color w:val="231F20"/>
          <w:sz w:val="20"/>
        </w:rPr>
        <w:t>Change of Control” means the occurrence of any of the following:</w:t>
      </w:r>
    </w:p>
    <w:tbl>
      <w:tblPr>
        <w:tblW w:w="9805" w:type="dxa"/>
        <w:jc w:val="left"/>
        <w:tblInd w:w="200" w:type="dxa"/>
        <w:tblLayout w:type="fixed"/>
        <w:tblCellMar>
          <w:top w:w="0" w:type="dxa"/>
          <w:left w:w="0" w:type="dxa"/>
          <w:bottom w:w="0" w:type="dxa"/>
          <w:right w:w="0" w:type="dxa"/>
        </w:tblCellMar>
      </w:tblPr>
      <w:tblGrid>
        <w:gridCol w:w="124"/>
        <w:gridCol w:w="280"/>
        <w:gridCol w:w="94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(1)</w:t>
            </w:r>
          </w:p>
        </w:tc>
        <w:tc>
          <w:tcPr>
            <w:tcW w:w="9401" w:type="dxa"/>
            <w:tcBorders/>
            <w:vAlign w:val="center"/>
          </w:tcPr>
          <w:p>
            <w:pPr>
              <w:pStyle w:val="TableContents"/>
              <w:bidi w:val="0"/>
              <w:spacing w:lineRule="auto" w:line="285" w:before="0" w:after="240"/>
              <w:jc w:val="left"/>
              <w:rPr>
                <w:rFonts w:ascii="Aptos" w:hAnsi="Aptos"/>
                <w:sz w:val="24"/>
              </w:rPr>
            </w:pPr>
            <w:r>
              <w:rPr>
                <w:rFonts w:ascii="Times New Roman;Times;serif" w:hAnsi="Times New Roman;Times;serif"/>
                <w:color w:val="231F20"/>
                <w:sz w:val="20"/>
              </w:rPr>
              <w:t xml:space="preserve">the direct or indirect sale, lease, transfer, conveyance or other disposition (other than by way of merger or consolidation) in one or a series of related transactions, of all or substantially all of the assets of Runway Growth Finance Corp. and its Controlled Subsidiaries taken as a whole to any “person” or “group” (as those terms are used in Section 13(d)(3)) of the Exchange Act), other than to any Permitted Holders; </w:t>
            </w:r>
            <w:r>
              <w:rPr>
                <w:rFonts w:ascii="Times New Roman;Times;serif" w:hAnsi="Times New Roman;Times;serif"/>
                <w:i/>
                <w:color w:val="231F20"/>
                <w:sz w:val="20"/>
              </w:rPr>
              <w:t xml:space="preserve">provided </w:t>
            </w:r>
            <w:r>
              <w:rPr>
                <w:rFonts w:ascii="Times New Roman;Times;serif" w:hAnsi="Times New Roman;Times;serif"/>
                <w:color w:val="231F20"/>
                <w:sz w:val="20"/>
              </w:rPr>
              <w:t>that, for the avoidance of doubt, a pledge of assets pursuant to any secured debt instrument of the Company or its Controlled Subsidiaries shall not be deemed to be any such sale, lease, transfer, conveyance or disposition;</w:t>
            </w:r>
          </w:p>
        </w:tc>
      </w:tr>
    </w:tbl>
    <w:tbl>
      <w:tblPr>
        <w:tblW w:w="9805" w:type="dxa"/>
        <w:jc w:val="left"/>
        <w:tblInd w:w="200" w:type="dxa"/>
        <w:tblLayout w:type="fixed"/>
        <w:tblCellMar>
          <w:top w:w="0" w:type="dxa"/>
          <w:left w:w="0" w:type="dxa"/>
          <w:bottom w:w="0" w:type="dxa"/>
          <w:right w:w="0" w:type="dxa"/>
        </w:tblCellMar>
      </w:tblPr>
      <w:tblGrid>
        <w:gridCol w:w="124"/>
        <w:gridCol w:w="282"/>
        <w:gridCol w:w="93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(2)</w:t>
            </w:r>
          </w:p>
        </w:tc>
        <w:tc>
          <w:tcPr>
            <w:tcW w:w="9399"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Runway Growth Finance Corp., measured by voting power rather than number of shares; or</w:t>
            </w:r>
          </w:p>
        </w:tc>
      </w:tr>
    </w:tbl>
    <w:tbl>
      <w:tblPr>
        <w:tblW w:w="9805" w:type="dxa"/>
        <w:jc w:val="left"/>
        <w:tblInd w:w="200" w:type="dxa"/>
        <w:tblLayout w:type="fixed"/>
        <w:tblCellMar>
          <w:top w:w="0" w:type="dxa"/>
          <w:left w:w="0" w:type="dxa"/>
          <w:bottom w:w="0" w:type="dxa"/>
          <w:right w:w="0" w:type="dxa"/>
        </w:tblCellMar>
      </w:tblPr>
      <w:tblGrid>
        <w:gridCol w:w="124"/>
        <w:gridCol w:w="311"/>
        <w:gridCol w:w="93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(3)</w:t>
            </w:r>
          </w:p>
        </w:tc>
        <w:tc>
          <w:tcPr>
            <w:tcW w:w="9370" w:type="dxa"/>
            <w:tcBorders/>
            <w:vAlign w:val="center"/>
          </w:tcPr>
          <w:p>
            <w:pPr>
              <w:pStyle w:val="TableContents"/>
              <w:bidi w:val="0"/>
              <w:spacing w:lineRule="auto" w:line="285" w:before="0" w:after="240"/>
              <w:jc w:val="left"/>
              <w:rPr>
                <w:rFonts w:ascii="Times New Roman;Times;serif" w:hAnsi="Times New Roman;Times;serif"/>
                <w:color w:val="231F20"/>
                <w:sz w:val="20"/>
              </w:rPr>
            </w:pPr>
            <w:r>
              <w:rPr>
                <w:rFonts w:ascii="Times New Roman;Times;serif" w:hAnsi="Times New Roman;Times;serif"/>
                <w:color w:val="231F20"/>
                <w:sz w:val="20"/>
              </w:rPr>
              <w:t>the approval by Runway Growth Finance Corp.’s stockholders of any plan or proposal relating to the liquidation or dissolution of Runway Growth Finance Corp.</w:t>
            </w:r>
          </w:p>
        </w:tc>
      </w:tr>
    </w:tbl>
    <w:p>
      <w:pPr>
        <w:pStyle w:val="TextBody"/>
        <w:bidi w:val="0"/>
        <w:spacing w:lineRule="auto" w:line="285" w:before="0" w:after="240"/>
        <w:ind w:left="200" w:right="200" w:firstLine="360"/>
        <w:jc w:val="left"/>
        <w:rPr>
          <w:color w:val="231F20"/>
        </w:rPr>
      </w:pPr>
      <w:r>
        <w:rPr>
          <w:color w:val="231F20"/>
        </w:rPr>
        <w:t>“</w:t>
      </w:r>
      <w:r>
        <w:rPr>
          <w:rFonts w:ascii="Times New Roman;Times;serif" w:hAnsi="Times New Roman;Times;serif"/>
          <w:color w:val="231F20"/>
          <w:sz w:val="20"/>
        </w:rPr>
        <w:t>Change of Control Repurchase Event” means the occurrence of a Change of Control.</w:t>
      </w:r>
    </w:p>
    <w:p>
      <w:pPr>
        <w:pStyle w:val="TextBody"/>
        <w:bidi w:val="0"/>
        <w:spacing w:lineRule="auto" w:line="285" w:before="0" w:after="240"/>
        <w:ind w:left="200" w:right="200" w:firstLine="360"/>
        <w:jc w:val="left"/>
        <w:rPr>
          <w:color w:val="231F20"/>
        </w:rPr>
      </w:pPr>
      <w:r>
        <w:rPr>
          <w:color w:val="231F20"/>
        </w:rPr>
        <w:t>“</w:t>
      </w:r>
      <w:r>
        <w:rPr>
          <w:rFonts w:ascii="Times New Roman;Times;serif" w:hAnsi="Times New Roman;Times;serif"/>
          <w:color w:val="231F20"/>
          <w:sz w:val="20"/>
        </w:rPr>
        <w:t>Controlled Subsidiary” means any subsidiary of Runway Growth Finance Corp., 50% or more of the outstanding equity interests of which are owned by Runway Growth Finance Corp. and its direct or indirect subsidiaries and of which Runway Growth Finance Corp. possesses, directly or indirectly, the power to direct or cause the direction of the management or policies, whether through the ownership of voting equity interests, by agreement or otherwise.</w:t>
      </w:r>
    </w:p>
    <w:p>
      <w:pPr>
        <w:pStyle w:val="TextBody"/>
        <w:bidi w:val="0"/>
        <w:spacing w:lineRule="auto" w:line="285" w:before="0" w:after="240"/>
        <w:ind w:left="200" w:right="200" w:firstLine="360"/>
        <w:jc w:val="left"/>
        <w:rPr>
          <w:color w:val="231F20"/>
        </w:rPr>
      </w:pPr>
      <w:r>
        <w:rPr>
          <w:color w:val="231F20"/>
        </w:rPr>
        <w:t>“</w:t>
      </w:r>
      <w:r>
        <w:rPr>
          <w:rFonts w:ascii="Times New Roman;Times;serif" w:hAnsi="Times New Roman;Times;serif"/>
          <w:color w:val="231F20"/>
          <w:sz w:val="20"/>
        </w:rPr>
        <w:t>Permitted Holders” means (i) us, (ii) one or more of our Controlled Subsidiaries and (iii) RGC, any affiliate of RGC or any entity that is managed by RGC that is organized under the laws of a jurisdiction located in the United States and in the business of managing or advising clients.</w:t>
      </w:r>
    </w:p>
    <w:p>
      <w:pPr>
        <w:pStyle w:val="TextBody"/>
        <w:bidi w:val="0"/>
        <w:spacing w:lineRule="auto" w:line="285" w:before="0" w:after="240"/>
        <w:ind w:left="200" w:right="200" w:firstLine="360"/>
        <w:jc w:val="left"/>
        <w:rPr>
          <w:color w:val="231F20"/>
        </w:rPr>
      </w:pPr>
      <w:r>
        <w:rPr>
          <w:color w:val="231F20"/>
        </w:rPr>
        <w:t>“</w:t>
      </w:r>
      <w:r>
        <w:rPr>
          <w:rFonts w:ascii="Times New Roman;Times;serif" w:hAnsi="Times New Roman;Times;serif"/>
          <w:color w:val="231F20"/>
          <w:sz w:val="20"/>
        </w:rPr>
        <w:t>Voting Stock,” as applied to the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Events of Default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will have rights if an Event of Default occurs in respect of the Notes and is not cured, as described later in this subsection.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term “Event of Default” in respect of the Notes means any of the following: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default in the payment of any interest on the Notes when due and payable and the default continues for a period of 30 days.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default in the payment of the principal of (or premium, if any, on) a debt security of the series when it becomes due and payable at its maturity, including upon any redemption date or required repurchase date, and the default continues for a period of five business days.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do not deposit any sinking fund payment in respect of the Notes on its due date, and do not cure this default within five days.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fail for 60 consecutive days after written notice from the Trustee or the holders of at least 25% in principal amount of the Notes then outstanding to us and the Trustee, as applicable, has been received to comply with any of our other agreements with respect to the Notes.</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S-26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file for bankruptcy or certain events of bankruptcy, insolvency, or reorganization involving us occur and remain undischarged or unstayed for a period of 90 days.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w:t>
            </w:r>
          </w:p>
        </w:tc>
      </w:tr>
    </w:tbl>
    <w:tbl>
      <w:tblPr>
        <w:tblW w:w="9321" w:type="dxa"/>
        <w:jc w:val="left"/>
        <w:tblInd w:w="20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Any other Event of Default in respect of the Notes described in the applicable prospectus supplement occurs.</w:t>
            </w:r>
          </w:p>
        </w:tc>
      </w:tr>
    </w:tbl>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 Event of Default for the Notes does not necessarily constitute an Event of Default for any other series of debt securities issued under the same or any other indenture. The Trustee may withhold notice to the holders of the Notes of any default, except in the payment of principal, premium or interest, if it in good faith considers the withholding of notice to be in the interests of the holders.</w:t>
      </w:r>
    </w:p>
    <w:p>
      <w:pPr>
        <w:pStyle w:val="TextBody"/>
        <w:bidi w:val="0"/>
        <w:spacing w:lineRule="auto" w:line="285"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Remedies if an Event of Default Occurs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an Event of Default has occurred and has not been cured, the Trustee or the holders of at least 25% in principal amount of the Notes may declare the entire principal amount of all the Notes to be due and immediately payable. This is called a declaration of acceleration of maturity. A declaration of acceleration of maturity may be canceled by the holders of a majority in principal amount of the Notes if (1) we have deposited with the Trustee all amounts due and owing with respect to the securities (other than principal that has become due solely by reason of such acceleration) and certain other amounts, (2) we have paid or deposited with the Trustee all sums paid or advanced by the Trustee and the reasonable compensation, expenses, disbursements and advances of the Trustee, its agents and counsel, and (3) any other Events of Default have been cured or waived.</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(Section 315 of the Trust Indenture Act of 1939). If indemnity and/or security satisfactory to the Trustee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Before you are allowed to bypass the Trustee and bring your own lawsuit or other formal legal action or take other steps to enforce your rights or protect your interests relating to the Notes, the following must occur:</w:t>
      </w:r>
    </w:p>
    <w:tbl>
      <w:tblPr>
        <w:tblW w:w="8646" w:type="dxa"/>
        <w:jc w:val="left"/>
        <w:tblInd w:w="200" w:type="dxa"/>
        <w:tblLayout w:type="fixed"/>
        <w:tblCellMar>
          <w:top w:w="28" w:type="dxa"/>
          <w:left w:w="28" w:type="dxa"/>
          <w:bottom w:w="28" w:type="dxa"/>
          <w:right w:w="28"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You must give the Trustee written notice that an Event of Default has occurred and remains uncured.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holders of at least 25% in principal amount of all outstanding Notes must make a written request that the Trustee take action because of the default and must offer to the Trustee security and/or indemnity satisfactory to it against the cost, expenses, and other liabilities of taking that action.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Trustee must not have taken action for 60 days after receipt of the above notice and offer of security and/or indemnity.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holders of a majority in principal amount of the Notes must not have given the Trustee a direction inconsistent with the above notice during that 60-day period.</w:t>
            </w:r>
          </w:p>
        </w:tc>
      </w:tr>
    </w:tbl>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However, you are entitled at any time to bring a lawsuit for the payment of money due on your Notes on or after the due date.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Holders of a majority in principal amount of the Notes may waive any past defaults other than a default;</w:t>
      </w:r>
    </w:p>
    <w:tbl>
      <w:tblPr>
        <w:tblW w:w="5061" w:type="dxa"/>
        <w:jc w:val="left"/>
        <w:tblInd w:w="20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the payment of principal, any premium, or interest; or</w:t>
            </w:r>
          </w:p>
        </w:tc>
      </w:tr>
    </w:tbl>
    <w:tbl>
      <w:tblPr>
        <w:tblW w:w="8316" w:type="dxa"/>
        <w:jc w:val="left"/>
        <w:tblInd w:w="20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respect of a covenant that cannot be modified or amended without the consent of each holder.</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S-27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b/>
          <w:color w:val="231F20"/>
          <w:sz w:val="20"/>
        </w:rPr>
      </w:pPr>
      <w:r>
        <w:rPr>
          <w:rFonts w:ascii="Times New Roman;Times;serif" w:hAnsi="Times New Roman;Times;serif"/>
          <w:b/>
          <w:color w:val="231F20"/>
          <w:sz w:val="20"/>
        </w:rPr>
        <w:t>Book-entry and other indirect holders should consult their banks or brokers for information on how to give notice or direction to or make a request of the Trustee and how to declare or cancel an acceleration of maturity.</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Each year, we will furnish to the Trustee a written statement of certain of our officers certifying that to their knowledge we are in compliance with the Indenture or else specifying any default.</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Merger, Consolidation or Sale of Assets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Under the terms of the Indenture, we are generally permitted to consolidate or merge with another entity. We are also permitted to sell all or substantially all of our assets to another entity. However, we may not consolidate with or into any other corporation or convey or transfer all or substantially all of our property or assets to any person unless all the following conditions are met: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Where we merge out of existence or sell our assets, the resulting entity must agree to be legally responsible for all of our obligations under the Notes and the Indenture.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Immediately after giving effect to such transaction, no Default or Event of Default shall have happened and be continuing.</w:t>
            </w:r>
          </w:p>
        </w:tc>
      </w:tr>
    </w:tbl>
    <w:tbl>
      <w:tblPr>
        <w:tblW w:w="5856" w:type="dxa"/>
        <w:jc w:val="left"/>
        <w:tblInd w:w="20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deliver certain certificates and documents to the Trustee.</w:t>
            </w:r>
          </w:p>
        </w:tc>
      </w:tr>
    </w:tbl>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Modification or Waiver</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There are three types of changes we can make to the Indenture and the Notes.</w:t>
      </w:r>
    </w:p>
    <w:p>
      <w:pPr>
        <w:pStyle w:val="TextBody"/>
        <w:bidi w:val="0"/>
        <w:spacing w:lineRule="auto" w:line="285"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Changes Requiring Your Approval</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First, there are changes that we cannot make to your Notes without your specific approval. The following is a list of those types of changes:</w:t>
      </w:r>
    </w:p>
    <w:tbl>
      <w:tblPr>
        <w:tblW w:w="6156" w:type="dxa"/>
        <w:jc w:val="left"/>
        <w:tblInd w:w="20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 the stated maturity of the principal of or interest on the Notes;</w:t>
            </w:r>
          </w:p>
        </w:tc>
      </w:tr>
    </w:tbl>
    <w:tbl>
      <w:tblPr>
        <w:tblW w:w="3621" w:type="dxa"/>
        <w:jc w:val="left"/>
        <w:tblInd w:w="20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reduce any amounts due on the Notes;</w:t>
            </w:r>
          </w:p>
        </w:tc>
      </w:tr>
    </w:tbl>
    <w:tbl>
      <w:tblPr>
        <w:tblW w:w="9126" w:type="dxa"/>
        <w:jc w:val="left"/>
        <w:tblInd w:w="20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reduce the amount of principal payable upon acceleration of the maturity of the Notes following a default;</w:t>
            </w:r>
          </w:p>
        </w:tc>
      </w:tr>
    </w:tbl>
    <w:tbl>
      <w:tblPr>
        <w:tblW w:w="5541" w:type="dxa"/>
        <w:jc w:val="left"/>
        <w:tblInd w:w="20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adversely affect any right of repayment at the holder’s option;</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 the place (except as otherwise described in this prospectus supplement or the accompanying prospectus) or currency of payment on the Notes;</w:t>
            </w:r>
          </w:p>
        </w:tc>
      </w:tr>
    </w:tbl>
    <w:tbl>
      <w:tblPr>
        <w:tblW w:w="3516" w:type="dxa"/>
        <w:jc w:val="left"/>
        <w:tblInd w:w="20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impair your right to sue for payment;</w:t>
            </w:r>
          </w:p>
        </w:tc>
      </w:tr>
    </w:tbl>
    <w:tbl>
      <w:tblPr>
        <w:tblW w:w="8736" w:type="dxa"/>
        <w:jc w:val="left"/>
        <w:tblInd w:w="20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reduce the percentage of holders of Notes whose consent is needed to modify or amend the Indenture;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reduce the percentage of holders of Notes whose consent is needed to waive compliance with certain provisions of the Indenture or to waive certain defaults;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modify any other aspect of the provisions of the Indenture dealing with supplemental indentures, modification and waiver of past defaults, changes to the quorum or voting requirements or the waiver of certain covenants; and</w:t>
            </w:r>
          </w:p>
        </w:tc>
      </w:tr>
    </w:tbl>
    <w:tbl>
      <w:tblPr>
        <w:tblW w:w="5286" w:type="dxa"/>
        <w:jc w:val="left"/>
        <w:tblInd w:w="20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 any obligation we have to pay additional amounts.</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S-28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Changes Not Requiring Approval</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second type of change does not require any vote by the holders of the Notes. This type is limited to clarifications and certain other changes that would not adversely affect holders of the Notes in any material respect. We also do not need any approval to make any change that affects only debt securities to be issued under the indenture after the change takes effect.</w:t>
      </w:r>
    </w:p>
    <w:p>
      <w:pPr>
        <w:pStyle w:val="TextBody"/>
        <w:bidi w:val="0"/>
        <w:spacing w:lineRule="auto" w:line="285"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Changes Requiring Majority Approval</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other change to the Indenture and the Notes would require the following approval:</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the change affects only the Notes, it must be approved by the holders of a majority in principal amount of the Notes outstanding at such time;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if the change affects more than one series of debt securities issued under the indenture, it must be approved by the holders of a majority in principal amount of all of the series affected by the change, with all affected series voting together as one class for this purpose.</w:t>
            </w:r>
          </w:p>
        </w:tc>
      </w:tr>
    </w:tbl>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w:t>
      </w:r>
      <w:r>
        <w:rPr>
          <w:rFonts w:ascii="Times New Roman;Times;serif" w:hAnsi="Times New Roman;Times;serif"/>
          <w:i/>
          <w:color w:val="231F20"/>
          <w:sz w:val="20"/>
        </w:rPr>
        <w:t>Changes Requiring Your Approval</w:t>
      </w:r>
      <w:r>
        <w:rPr>
          <w:rFonts w:ascii="Times New Roman;Times;serif" w:hAnsi="Times New Roman;Times;serif"/>
          <w:color w:val="231F20"/>
          <w:sz w:val="20"/>
        </w:rPr>
        <w:t>.”</w:t>
      </w:r>
    </w:p>
    <w:p>
      <w:pPr>
        <w:pStyle w:val="TextBody"/>
        <w:bidi w:val="0"/>
        <w:spacing w:lineRule="auto" w:line="285" w:before="0" w:after="240"/>
        <w:ind w:left="200" w:right="200" w:firstLine="360"/>
        <w:jc w:val="left"/>
        <w:rPr>
          <w:rFonts w:ascii="Times New Roman;Times;serif" w:hAnsi="Times New Roman;Times;serif"/>
          <w:b/>
          <w:color w:val="231F20"/>
          <w:sz w:val="20"/>
        </w:rPr>
      </w:pPr>
      <w:r>
        <w:rPr>
          <w:rFonts w:ascii="Times New Roman;Times;serif" w:hAnsi="Times New Roman;Times;serif"/>
          <w:b/>
          <w:color w:val="231F20"/>
          <w:sz w:val="20"/>
        </w:rPr>
        <w:t>Book-entry and other indirect holders should consult their banks or brokers for information on how approval may be granted or denied if we seek to change the Indenture or the Notes or request a waiver.</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Defeasance</w:t>
      </w:r>
    </w:p>
    <w:p>
      <w:pPr>
        <w:pStyle w:val="TextBody"/>
        <w:bidi w:val="0"/>
        <w:spacing w:lineRule="auto" w:line="285" w:before="0" w:after="240"/>
        <w:ind w:left="200" w:right="200" w:hanging="0"/>
        <w:jc w:val="left"/>
        <w:rPr>
          <w:rFonts w:ascii="Times New Roman;Times;serif" w:hAnsi="Times New Roman;Times;serif"/>
          <w:b/>
          <w:i/>
          <w:color w:val="231F20"/>
          <w:sz w:val="20"/>
        </w:rPr>
      </w:pPr>
      <w:r>
        <w:rPr>
          <w:rFonts w:ascii="Times New Roman;Times;serif" w:hAnsi="Times New Roman;Times;serif"/>
          <w:b/>
          <w:i/>
          <w:color w:val="231F20"/>
          <w:sz w:val="20"/>
        </w:rPr>
        <w:t>Covenant Defeasance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Under current United States federal tax law,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irrevocably deposit in trust for the benefit of all holders of such Notes a combination of money and United States government or United States government agency notes or bonds that will generate enough cash to make interest, principal and any other payments on the Notes on their various due dates. No Default or Event of Default with respect to the Notes shall have occurred and be continuing on the date of such deposit, or in the case of a bankruptcy Event of Default, at any time during the period ending on the 91st day after the date of such deposit.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deliver to the Trustee a legal opinion of our counsel confirming that, under current U.S. federal income tax law, we may make the above deposit without causing you to be taxed on the Notes any differently than if we did not make the deposit and just repaid the Notes ourselves at maturity.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tc>
      </w:tr>
    </w:tbl>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we accomplish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S-29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i/>
          <w:color w:val="231F20"/>
          <w:sz w:val="20"/>
        </w:rPr>
      </w:pPr>
      <w:r>
        <w:rPr>
          <w:rFonts w:ascii="Times New Roman;Times;serif" w:hAnsi="Times New Roman;Times;serif"/>
          <w:b/>
          <w:i/>
          <w:color w:val="231F20"/>
          <w:sz w:val="20"/>
        </w:rPr>
        <w:t>Full Defeasance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there is a change in U.S. federal tax law, as described below, we can legally release ourselves from all payment and other obligations on the Notes (called “full defeasance”) if we put in place the following other arrangements for you to be repaid:</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deposit in trust for the benefit of all holders of such Notes a combination of money and United States government or United States government agency notes or bonds that will generate enough cash to make interest, principal and any other payments on the Notes and for payment of amounts due to the Trustee.</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Default or Event of Default with respect to the Notes shall have occurred and be continuing on the date of such deposit, or in the case of a bankruptcy Event of Default, at any time during the period ending on the 91st day after the date of such deposit.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deliver to the Trustee a legal opinion confirming that there has been a change in current U.S. federal tax law or a ruling issued by the Internal Revenue Service, or IRS, that allows us to make the above deposit without causing you to be taxed on the Notes any differently than if we did not make the deposit and just repaid the Notes ourselves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tc>
      </w:tr>
    </w:tbl>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No service charge will be made for any registration of transfer or any exchange of Notes, but we may require payment of a sum sufficient to cover any transfer tax or similar governmental charge payable in connection therewith.</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Satisfaction and Discharge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Indenture will be discharged and will cease to be of further effect with respect to the Notes when either:</w:t>
      </w:r>
    </w:p>
    <w:tbl>
      <w:tblPr>
        <w:tblW w:w="8361" w:type="dxa"/>
        <w:jc w:val="left"/>
        <w:tblInd w:w="20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the Notes that have been authenticated have been delivered to the Trustee for cancellation; or</w:t>
            </w:r>
          </w:p>
        </w:tc>
      </w:tr>
    </w:tbl>
    <w:tbl>
      <w:tblPr>
        <w:tblW w:w="6441" w:type="dxa"/>
        <w:jc w:val="left"/>
        <w:tblInd w:w="20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the Notes that have not been delivered to the Trustee for cancellation:</w:t>
            </w:r>
          </w:p>
        </w:tc>
      </w:tr>
    </w:tbl>
    <w:tbl>
      <w:tblPr>
        <w:tblW w:w="3021" w:type="dxa"/>
        <w:jc w:val="left"/>
        <w:tblInd w:w="200" w:type="dxa"/>
        <w:tblLayout w:type="fixed"/>
        <w:tblCellMar>
          <w:top w:w="28" w:type="dxa"/>
          <w:left w:w="28" w:type="dxa"/>
          <w:bottom w:w="28" w:type="dxa"/>
          <w:right w:w="28" w:type="dxa"/>
        </w:tblCellMar>
      </w:tblPr>
      <w:tblGrid>
        <w:gridCol w:w="124"/>
        <w:gridCol w:w="256"/>
        <w:gridCol w:w="2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have become due and payable,</w:t>
            </w:r>
          </w:p>
        </w:tc>
      </w:tr>
    </w:tbl>
    <w:tbl>
      <w:tblPr>
        <w:tblW w:w="6336" w:type="dxa"/>
        <w:jc w:val="left"/>
        <w:tblInd w:w="20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will become due and payable at their stated maturity within one year, or</w:t>
            </w:r>
          </w:p>
        </w:tc>
      </w:tr>
    </w:tbl>
    <w:tbl>
      <w:tblPr>
        <w:tblW w:w="4356" w:type="dxa"/>
        <w:jc w:val="left"/>
        <w:tblInd w:w="20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are to be called for redemption within one year,</w:t>
            </w:r>
          </w:p>
        </w:tc>
      </w:tr>
    </w:tbl>
    <w:p>
      <w:pPr>
        <w:pStyle w:val="TextBody"/>
        <w:bidi w:val="0"/>
        <w:spacing w:lineRule="auto" w:line="285" w:before="0" w:after="240"/>
        <w:ind w:left="200" w:right="200" w:hanging="0"/>
        <w:jc w:val="left"/>
        <w:rPr>
          <w:rFonts w:ascii="Times New Roman;Times;serif" w:hAnsi="Times New Roman;Times;serif"/>
          <w:color w:val="231F20"/>
          <w:sz w:val="20"/>
        </w:rPr>
      </w:pPr>
      <w:r>
        <w:rPr>
          <w:rFonts w:ascii="Times New Roman;Times;serif" w:hAnsi="Times New Roman;Times;serif"/>
          <w:color w:val="231F20"/>
          <w:sz w:val="20"/>
        </w:rPr>
        <w:t>and we, in the case of the first, second and third sub-bullets above, have irrevocably deposited or caused to be deposited with the Trustee as trust funds in trust solely for the benefit of the holders of the Notes, in amounts as will be sufficient, without consideration of any reinvestment of interest, to pay and discharge the entire indebtedness (including all principal, premium, if any, and interest) on such Notes delivered to the Trustee for cancellation (in the case of Notes that have become due and payable on or prior to the date of such deposit) or to the stated maturity or redemption date, as the case may be,</w:t>
      </w:r>
    </w:p>
    <w:tbl>
      <w:tblPr>
        <w:tblW w:w="9681" w:type="dxa"/>
        <w:jc w:val="left"/>
        <w:tblInd w:w="20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paid or caused to be paid all other sums payable by us under the Indenture with respect to the Notes; and</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S-30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 have delivered to the Trustee an officers’ certificate and legal opinion, each stating that all conditions precedent provided for in the Indenture, including amounts payable to the Trustee, relating to the satisfaction and discharge of the Indenture and the Notes have been complied with.</w:t>
            </w:r>
          </w:p>
        </w:tc>
      </w:tr>
    </w:tbl>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Additional Notes and Additional Series of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may from time to time, without notice to or the consent of the registered holders of the Notes, create and issue further notes ranking equally and ratably with the Notes in all respects, including having the same CUSIP number, so that such further notes shall be consolidated and form a single series of notes and shall have the same terms as to status or otherwise as the Notes. No additional Notes may be issued if an Event of Default has occurred and is continuing with respect to the Notes. The indenture also allows for the issuance of additional series of debt securities from time to time.</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The Trustee Under the Indenture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U.S. Bank Trust Company, National Association will serve as the trustee under the Indenture.</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Payment, Paying Agent, Registrar and Transfer Agent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principal amount of each Note will be payable on the stated maturity date at the corporate trust office of the Paying Agent, Registrar and Transfer Agent for the Notes as provided for in the Indenture or at such other office in New York City as we may designate. The Trustee will initially act as Paying Agent, Registrar and Transfer Agent for the Notes.</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Governing Law</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Indenture and the Notes will be governed by the laws of the State of New York.</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Book-Entry Debt Securities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DTC will act as securities depository for the Notes. The Notes will be issued as fully registered securities registered in the name of Cede &amp; Co. (DTC’s partnership nominee) or such other name as may be requested by an authorized representative of DTC. One fully-registered certificate will be issued for the Notes, in the aggregate principal amount of such issue, and will be deposited with DTC.</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issues of U.S. and non-U.S. equity issues, corporate and municipal debt issues, and money market instruments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w:t>
      </w:r>
    </w:p>
    <w:p>
      <w:pPr>
        <w:pStyle w:val="TextBody"/>
        <w:bidi w:val="0"/>
        <w:spacing w:lineRule="auto" w:line="285" w:before="0" w:after="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 xml:space="preserve">Purchases of debt securities under the DTC system must be made by or through Direct Participants, which will receive a credit for the debt securities on DTC’s records. The ownership interest of each actual purchaser of each security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S-31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color w:val="231F20"/>
          <w:sz w:val="20"/>
        </w:rPr>
      </w:pPr>
      <w:r>
        <w:rPr>
          <w:rFonts w:ascii="Times New Roman;Times;serif" w:hAnsi="Times New Roman;Times;serif"/>
          <w:color w:val="231F20"/>
          <w:sz w:val="20"/>
        </w:rPr>
        <w:t>Indirect Participants acting on behalf of Beneficial Owners. Beneficial Owners will not receive certificates representing their ownership interests in debt securities, except in the event that use of the book-entry system for the debt securities is discontinued.</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affect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Redemption notices shall be sent to DTC. If less than all of the debt securities within an issue are being redeemed, DTC’s practice is to determine by lot the amount of the interest of each Direct Participant in such issue to be redeemed.</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Neither DTC nor Cede &amp; Co. (nor such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Redemption proceeds, distributions, and dividend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but disbursement of such payments to Direct Participants will be the responsibility of DTC, and disbursement of such payments to the Beneficial Owners will be the responsibility of Direct and Indirect Participants.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information in this section concerning DTC and DTC’s book-entry system has been obtained from sources that we believe to be reliable, but we take no responsibility for the accuracy thereof.</w:t>
      </w:r>
    </w:p>
    <w:p>
      <w:pPr>
        <w:pStyle w:val="TextBody"/>
        <w:bidi w:val="0"/>
        <w:spacing w:lineRule="auto" w:line="328" w:before="0" w:after="160"/>
        <w:ind w:left="200" w:right="200" w:firstLine="360"/>
        <w:jc w:val="left"/>
        <w:rPr/>
      </w:pPr>
      <w:r>
        <w:rPr/>
        <w:t>​</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S-32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18" w:name="MATERIALUNITEDSTATES_536388"/>
      <w:bookmarkStart w:id="19" w:name="_c8d6808f_c951_45b0_9599_033cb9c82d8b"/>
      <w:bookmarkEnd w:id="18"/>
      <w:bookmarkEnd w:id="19"/>
      <w:r>
        <w:rPr>
          <w:rFonts w:ascii="Times New Roman;Times;serif" w:hAnsi="Times New Roman;Times;serif"/>
          <w:b/>
          <w:color w:val="231F20"/>
          <w:sz w:val="20"/>
        </w:rPr>
        <w:t>MATERIAL UNITED STATES FEDERAL INCOME TAX CONSEQUENCES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following discussion is a general summary of the material United States federal income tax considerations (and, in the case of a non-U.S. holder (as defined below), the material United States federal estate tax consequences) applicable to an investment in the Notes. This summary does not purport to be a complete description of the income tax considerations applicable to such an investment. The discussion is based upon the Code, the Treasury Regulations promulgated thereunder, and administrative and judicial interpretations, each as of the date of this prospectus supplement and all of which are subject to change, potentially with retroactive effect. You should consult your own tax advisor with respect to tax considerations that pertain to your purchase of the Notes.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This discussion deals only with Notes held as capital assets within the meaning of Section 1221 of the Code and does not purport to deal with persons in special tax situations,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pass-through entities (including partnerships and entities and arrangements classified as partnerships for United States federal income tax purposes) and beneficial owners of pass-through entities, or persons whose functional currency (as defined in Section 985 of the Code) is not the U.S. dollar. It also does not deal with beneficial owners of the Notes other than original purchasers of the Notes who acquire the Notes in this offering.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For purposes of this discussion, the term “U.S. holder” means a beneficial owner of a Note that is, for United States federal income tax purposes, (i) an individual who is (or is treated as)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alien,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United States federal income tax as if they were United States citizens.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pStyle w:val="TextBody"/>
        <w:bidi w:val="0"/>
        <w:spacing w:lineRule="auto" w:line="285" w:before="0" w:after="240"/>
        <w:ind w:left="200" w:right="200" w:firstLine="360"/>
        <w:jc w:val="left"/>
        <w:rPr>
          <w:rFonts w:ascii="Times New Roman;Times;serif" w:hAnsi="Times New Roman;Times;serif"/>
          <w:b/>
          <w:color w:val="231F20"/>
          <w:sz w:val="20"/>
        </w:rPr>
      </w:pPr>
      <w:r>
        <w:rPr>
          <w:rFonts w:ascii="Times New Roman;Times;serif" w:hAnsi="Times New Roman;Times;serif"/>
          <w:b/>
          <w:color w:val="231F20"/>
          <w:sz w:val="20"/>
        </w:rPr>
        <w:t>Tax matters are very complicated and the tax consequences to each stockholder of an investment in our securities will depend on the facts of its particular situation. Prospective noteholders are urged to consult their own tax advisors to determine the U.S. federal, state, local and foreign tax consequences to them of an investment in our securities, including applicable tax reporting requirements, the applicability of U.S. federal, state, local and foreign tax laws, eligibility for the benefits of any applicable tax treaty and the effect of any possible changes to tax laws.</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Taxation of Note Holders</w:t>
      </w:r>
    </w:p>
    <w:p>
      <w:pPr>
        <w:pStyle w:val="TextBody"/>
        <w:bidi w:val="0"/>
        <w:spacing w:lineRule="auto" w:line="285"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Taxation of U.S. Holders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color w:val="231F20"/>
          <w:sz w:val="20"/>
        </w:rPr>
        <w:t xml:space="preserve">Qualified Stated Interest. </w:t>
      </w:r>
      <w:r>
        <w:rPr>
          <w:rFonts w:ascii="Times New Roman;Times;serif" w:hAnsi="Times New Roman;Times;serif"/>
          <w:color w:val="231F20"/>
          <w:sz w:val="20"/>
        </w:rPr>
        <w:t>Except as discussed below, payments or accruals of “qualified stated interest” on a Note generally will be taxable to a U.S. holder as ordinary interest income at the time they are received (actually or constructively) or accrued, in accordance with the U.S. holder’s regular method of tax accounting.</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S-33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color w:val="231F20"/>
          <w:sz w:val="20"/>
        </w:rPr>
        <w:t xml:space="preserve">Original Issue Discount. </w:t>
      </w:r>
      <w:r>
        <w:rPr>
          <w:rFonts w:ascii="Times New Roman;Times;serif" w:hAnsi="Times New Roman;Times;serif"/>
          <w:color w:val="231F20"/>
          <w:sz w:val="20"/>
        </w:rPr>
        <w:t>In addition, if the issue price of the Notes (</w:t>
      </w:r>
      <w:r>
        <w:rPr>
          <w:rFonts w:ascii="Times New Roman;Times;serif" w:hAnsi="Times New Roman;Times;serif"/>
          <w:i/>
          <w:color w:val="231F20"/>
          <w:sz w:val="20"/>
        </w:rPr>
        <w:t>i.e.</w:t>
      </w:r>
      <w:r>
        <w:rPr>
          <w:rFonts w:ascii="Times New Roman;Times;serif" w:hAnsi="Times New Roman;Times;serif"/>
          <w:color w:val="231F20"/>
          <w:sz w:val="20"/>
        </w:rPr>
        <w:t>, the first price at which a substantial amount of the Notes is sold to investors) is less than their “stated redemption price at maturity” (</w:t>
      </w:r>
      <w:r>
        <w:rPr>
          <w:rFonts w:ascii="Times New Roman;Times;serif" w:hAnsi="Times New Roman;Times;serif"/>
          <w:i/>
          <w:color w:val="231F20"/>
          <w:sz w:val="20"/>
        </w:rPr>
        <w:t>i.e.</w:t>
      </w:r>
      <w:r>
        <w:rPr>
          <w:rFonts w:ascii="Times New Roman;Times;serif" w:hAnsi="Times New Roman;Times;serif"/>
          <w:color w:val="231F20"/>
          <w:sz w:val="20"/>
        </w:rPr>
        <w:t xml:space="preserve">, the sum of all payments to be made on the Notes, other than payments of “qualified stated interest”) by not less than a specified </w:t>
      </w:r>
      <w:r>
        <w:rPr>
          <w:rFonts w:ascii="Times New Roman;Times;serif" w:hAnsi="Times New Roman;Times;serif"/>
          <w:i/>
          <w:color w:val="231F20"/>
          <w:sz w:val="20"/>
        </w:rPr>
        <w:t xml:space="preserve">de minimis </w:t>
      </w:r>
      <w:r>
        <w:rPr>
          <w:rFonts w:ascii="Times New Roman;Times;serif" w:hAnsi="Times New Roman;Times;serif"/>
          <w:color w:val="231F20"/>
          <w:sz w:val="20"/>
        </w:rPr>
        <w:t>amount, the Notes will be considered as having been issued for U.S. federal income tax purposes with original issue discount, or OID. In the case of the Notes, the term “qualified stated interest” generally means interest that is unconditionally payable at least annually and at a single fixed rate.</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The Notes are expected to be issued with OID. If the Notes are issued with OID, a U.S. holder generally will be required to include the OID in gross income as ordinary interest income in advance of the receipt of cash attributable to that income and regardless of such U.S. holder’s regular method of tax accounting. Such OID will be included in gross income for each day during each taxable year in which a Note is held by a U.S. holder using a constant yield method that reflects the compounding of interest. This means that a U.S. holder will be required to include increasingly greater amounts of OID over time. If the Notes are issued with discount that is less than the “</w:t>
      </w:r>
      <w:r>
        <w:rPr>
          <w:rFonts w:ascii="Times New Roman;Times;serif" w:hAnsi="Times New Roman;Times;serif"/>
          <w:i/>
          <w:color w:val="231F20"/>
          <w:sz w:val="20"/>
        </w:rPr>
        <w:t xml:space="preserve">de minimis </w:t>
      </w:r>
      <w:r>
        <w:rPr>
          <w:rFonts w:ascii="Times New Roman;Times;serif" w:hAnsi="Times New Roman;Times;serif"/>
          <w:color w:val="231F20"/>
          <w:sz w:val="20"/>
        </w:rPr>
        <w:t>amount” (</w:t>
      </w:r>
      <w:r>
        <w:rPr>
          <w:rFonts w:ascii="Times New Roman;Times;serif" w:hAnsi="Times New Roman;Times;serif"/>
          <w:i/>
          <w:color w:val="231F20"/>
          <w:sz w:val="20"/>
        </w:rPr>
        <w:t>i.e.</w:t>
      </w:r>
      <w:r>
        <w:rPr>
          <w:rFonts w:ascii="Times New Roman;Times;serif" w:hAnsi="Times New Roman;Times;serif"/>
          <w:color w:val="231F20"/>
          <w:sz w:val="20"/>
        </w:rPr>
        <w:t xml:space="preserve">, discount that is not treated as OID), the U.S. holder generally will be required to include the </w:t>
      </w:r>
      <w:r>
        <w:rPr>
          <w:rFonts w:ascii="Times New Roman;Times;serif" w:hAnsi="Times New Roman;Times;serif"/>
          <w:i/>
          <w:color w:val="231F20"/>
          <w:sz w:val="20"/>
        </w:rPr>
        <w:t xml:space="preserve">de minimis </w:t>
      </w:r>
      <w:r>
        <w:rPr>
          <w:rFonts w:ascii="Times New Roman;Times;serif" w:hAnsi="Times New Roman;Times;serif"/>
          <w:color w:val="231F20"/>
          <w:sz w:val="20"/>
        </w:rPr>
        <w:t xml:space="preserve">OID in income at the time a principal payment on the Note is made in proportion to the amount paid. Any amount of </w:t>
      </w:r>
      <w:r>
        <w:rPr>
          <w:rFonts w:ascii="Times New Roman;Times;serif" w:hAnsi="Times New Roman;Times;serif"/>
          <w:i/>
          <w:color w:val="231F20"/>
          <w:sz w:val="20"/>
        </w:rPr>
        <w:t xml:space="preserve">de minimis </w:t>
      </w:r>
      <w:r>
        <w:rPr>
          <w:rFonts w:ascii="Times New Roman;Times;serif" w:hAnsi="Times New Roman;Times;serif"/>
          <w:color w:val="231F20"/>
          <w:sz w:val="20"/>
        </w:rPr>
        <w:t>OID on a Note that is recognized by a U.S. holder will be characterized as capital gain. We are required to provide information returns stating the amount of OID accrued on the Notes held by persons of record, other than certain U.S. tax-exempt holders.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color w:val="231F20"/>
          <w:sz w:val="20"/>
        </w:rPr>
        <w:t xml:space="preserve">Market Discount. </w:t>
      </w:r>
      <w:r>
        <w:rPr>
          <w:rFonts w:ascii="Times New Roman;Times;serif" w:hAnsi="Times New Roman;Times;serif"/>
          <w:color w:val="231F20"/>
          <w:sz w:val="20"/>
        </w:rPr>
        <w:t xml:space="preserve">If you acquire a Note for an amount that is less than its adjusted issue price, the amount of the difference generally will be treated as “market discount” for U.S. federal income tax purposes, unless that difference is less than a specified </w:t>
      </w:r>
      <w:r>
        <w:rPr>
          <w:rFonts w:ascii="Times New Roman;Times;serif" w:hAnsi="Times New Roman;Times;serif"/>
          <w:i/>
          <w:color w:val="231F20"/>
          <w:sz w:val="20"/>
        </w:rPr>
        <w:t xml:space="preserve">de minimis </w:t>
      </w:r>
      <w:r>
        <w:rPr>
          <w:rFonts w:ascii="Times New Roman;Times;serif" w:hAnsi="Times New Roman;Times;serif"/>
          <w:color w:val="231F20"/>
          <w:sz w:val="20"/>
        </w:rPr>
        <w:t>amount. Under the market discount rules, you will be required to treat any principal payment on, or any gain on the sale, exchange, retirement or other disposition of, a Note as ordinary income to the extent of the market discount that you have not previously included in income and are treated as having accrued on the Note at the time of any principal payment received on the Note.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such case, you also may be required to defer, until the maturity of a Note or its earlier sale or other disposition in a taxable transaction, the deduction of all or a portion of the interest expense on any indebtedness attributable to the Note.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may make an election to include market discount from a Note in income currently as it accrues in which case the rule described above regarding deferral of interest deductions will not apply. If a U.S. holder makes this election, the U.S. holder will be required to increase the tax basis in the Note by the amount of market discount on the Note included in the U.S. holder’s income. If you make this election, it will apply to all debt instruments with market discount (including, if applicable, the Note) that you acquire on or after the first day of the first taxable year to which the election applies, and such election is irrevocable without the consent of the IRS. You should consult your own tax advisor before making this election.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market discount you recognize on a Note will be considered to accrue ratably during the period from the date of acquisition to the maturity date of the Note, unless you make a separate election to accrue such market discount on a constant yield method. If you make this election, it will only apply to the Note and any other debt instruments you specify, that you acquire on or after the first day of the first taxable year to which the election applies. You may not revoke this election without the consent of the IRS. You should consult your own tax advisor before making such election.</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color w:val="231F20"/>
          <w:sz w:val="20"/>
        </w:rPr>
        <w:t xml:space="preserve">Bond Premium. </w:t>
      </w:r>
      <w:r>
        <w:rPr>
          <w:rFonts w:ascii="Times New Roman;Times;serif" w:hAnsi="Times New Roman;Times;serif"/>
          <w:color w:val="231F20"/>
          <w:sz w:val="20"/>
        </w:rPr>
        <w:t>If you acquire a Note for an amount in excess of its stated principal amount, you will be considered to have purchased the Note at a “premium.” You generally may elect to amortize such premium over the remaining term of the Note on a constant yield method as an offset to interest when includible in taxable income under your regular accounting method. Any amortized amount of the premium for a taxable year generally will be treated first as an offset to interest on a Note includible in income in such taxable year, then as a deduction allowed in that taxable year to the extent of your prior interest inclusions on the Note, and finally as a carryforward allowable against your future interest inclusions on the Note, in each case, in accordance with your regular accounting method. If you make this election, you will be required to reduce your tax basis in a Note by the amount of the premium amortized. An election to amortize premium will also apply to all other taxable debt instruments you hold or subsequently acquire on or after the first day of the first taxable year for which the election is made. You may not revoke this election without the consent of the IRS. You should consult your own tax advisor before making such election. If you do not elect to amortize premium on the Note, that premium will decrease the gain or increase the loss you would otherwise recognize on disposition of the Note.</w:t>
      </w:r>
    </w:p>
    <w:p>
      <w:pPr>
        <w:pStyle w:val="TextBody"/>
        <w:bidi w:val="0"/>
        <w:spacing w:lineRule="auto" w:line="285" w:before="0" w:after="0"/>
        <w:ind w:left="200" w:right="200" w:firstLine="360"/>
        <w:jc w:val="left"/>
        <w:rPr>
          <w:rFonts w:ascii="Aptos" w:hAnsi="Aptos"/>
          <w:sz w:val="20"/>
        </w:rPr>
      </w:pPr>
      <w:r>
        <w:rPr>
          <w:rFonts w:ascii="Times New Roman;Times;serif" w:hAnsi="Times New Roman;Times;serif"/>
          <w:i/>
          <w:color w:val="231F20"/>
          <w:sz w:val="20"/>
        </w:rPr>
        <w:t xml:space="preserve">Sale, Exchange, Redemption, Retirement or other Disposition of Notes. </w:t>
      </w:r>
      <w:r>
        <w:rPr>
          <w:rFonts w:ascii="Times New Roman;Times;serif" w:hAnsi="Times New Roman;Times;serif"/>
          <w:color w:val="231F20"/>
          <w:sz w:val="20"/>
        </w:rPr>
        <w:t xml:space="preserve">Upon the sale, exchange, redemption or retirement of a Note, a U.S. holder generally will recognize capital gain or loss equal to the difference between the amount realized on the sale, exchange, redemption or retirement (excluding amounts representing accrued and unpaid interest, which are treated as ordinary income) and the U.S. holder’s adjusted tax basis in the Note. A U.S. holder’s adjusted tax basis in a Note generally will equal the U.S.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S-34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color w:val="231F20"/>
          <w:sz w:val="20"/>
        </w:rPr>
      </w:pPr>
      <w:r>
        <w:rPr>
          <w:rFonts w:ascii="Times New Roman;Times;serif" w:hAnsi="Times New Roman;Times;serif"/>
          <w:color w:val="231F20"/>
          <w:sz w:val="20"/>
        </w:rPr>
        <w:t>holder’s initial investment in the Note (increased by any OID and market discount previously included in income with respect to the Note, and reduced by the amount of any bond premium previously amortized with respect to the Note and any cash payments on the Note other than qualified stated interest). Capital gain or loss generally will be long-term capital gain or loss if the Note was held for more than one year. Long-term capital gains recognized by individuals and certain other non-corporate U.S. holders generally are eligible for reduced rates of taxation. The distinction between capital gain or loss and ordinary income or loss is also important in other contexts; for example, for purposes of the limitations on a U.S. holder’s ability to offset capital losses against ordinary income.</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color w:val="231F20"/>
          <w:sz w:val="20"/>
        </w:rPr>
        <w:t xml:space="preserve">Medicare Tax on Net Investment Income. </w:t>
      </w:r>
      <w:r>
        <w:rPr>
          <w:rFonts w:ascii="Times New Roman;Times;serif" w:hAnsi="Times New Roman;Times;serif"/>
          <w:color w:val="231F20"/>
          <w:sz w:val="20"/>
        </w:rPr>
        <w:t>A 3.8% tax is imposed under Section 1411 of the Code on the “net investment income” of certain U.S. citizens and residents and on the undistributed net investment income of certain estates and trusts. Among other items, net investment income generally includes payments of interest (and OID) on, and net gains recognized from the sale, exchange, redemption, retirement or other taxable disposition of Notes (unless the Notes are held in connection with certain trades or businesses), less certain deductions. U.S. holders should consult their own tax advisors regarding the effect, if any, of this legislation on their ownership and disposition of the Notes.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color w:val="231F20"/>
          <w:sz w:val="20"/>
        </w:rPr>
        <w:t xml:space="preserve">Tax Shelter Reporting Regulations. </w:t>
      </w:r>
      <w:r>
        <w:rPr>
          <w:rFonts w:ascii="Times New Roman;Times;serif" w:hAnsi="Times New Roman;Times;serif"/>
          <w:color w:val="231F20"/>
          <w:sz w:val="20"/>
        </w:rPr>
        <w:t>Under applicable Treasury Regulations, if a U.S. holder recognizes a loss with respect to the Notes or shares of our common stock of $2 million or more for a non-corporate U.S. holder or $10 million or more for a corporate U.S. holder in any single taxable year (or a greater loss over a combination of taxable years), the U.S. holder may be required to file with the Internal Revenue Service (“IRS”) a disclosure statement on IRS Form 8886. Direct U.S. holders of portfolio securities are in many cases excepted from this reporting requirement, but, under current guidance, U.S. holders of a RIC are not excepted. Future guidance may extend the current exception from this reporting requirement to U.S. 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holders of the Notes or our common stock should consult their own tax advisors to determine the applicability of these Treasury Regulations in light of their individual circumstances.</w:t>
      </w:r>
    </w:p>
    <w:p>
      <w:pPr>
        <w:pStyle w:val="TextBody"/>
        <w:bidi w:val="0"/>
        <w:spacing w:lineRule="auto" w:line="285" w:before="0" w:after="240"/>
        <w:ind w:left="200" w:right="200" w:hanging="0"/>
        <w:jc w:val="left"/>
        <w:rPr>
          <w:rFonts w:ascii="Times New Roman;Times;serif" w:hAnsi="Times New Roman;Times;serif"/>
          <w:i/>
          <w:color w:val="231F20"/>
          <w:sz w:val="20"/>
        </w:rPr>
      </w:pPr>
      <w:r>
        <w:rPr>
          <w:rFonts w:ascii="Times New Roman;Times;serif" w:hAnsi="Times New Roman;Times;serif"/>
          <w:i/>
          <w:color w:val="231F20"/>
          <w:sz w:val="20"/>
        </w:rPr>
        <w:t>Taxation of Non-U.S. Holders.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Except as provided below under “Information Reporting and Backup Withholding” and “FATCA Withholding on Payments to Certain Foreign Entities,” a non-U.S. holder generally will not be subject to U.S. federal income or withholding taxes on payments of principal or stated interest on a Note provided that (i) income on the Note is not effectively connected with the conduct by the non-U.S. holder of a trade or business within the U.S., (ii) the non-U.S. holder is not a controlled foreign corporation, or CFC, related to the Company through stock ownership, (iii) in the case of interest income, the recipient is not a bank receiving interest described in Section 881(c)(3)(A) of the Code, (iv) the non-U.S. holder does not own (actually or constructively) 10% or more of the total combined voting power or value of all classes of stock of the Company, and (v) (A) the non-U.S. holder provides a statement on an IRS Form W-8BEN, Form W-8BEN-E or other applicable U.S. nonresident withholding tax certification form signed under penalties of perjury that includes, among other requirements, its name and address and a certification that the non-U.S. holder is not a United States person for U.S. federal income tax purposes in compliance with applicable requirements, or satisfies documentary evidence requirements for establishing that it is a non-U.S. holder, or (B) a securities clearing organization, bank, or other financial institution that holds customer securities in the ordinary course of its trade or business (i.e., a “financial institution”) and holds a Note certifies to us under penalties of perjury that either it or another financial institution has received the required statement from the non-U.S. holder certifying that it is a non-U.S. person and furnishes us with a copy of the statement.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 non-U.S. holder that is not exempt from tax under these rules generally will be subject to United States federal income tax withholding on payments of interest on the Notes at a rate of 30% unless (i) the income is effectively connected with the conduct of a U.S. trade or business, in which case the interest generally will be subject to U.S. federal income tax on a net income basis as applicable to U.S. holders generally (unless an applicable income tax treaty provides otherwise), and such non-U.S. holder would be required in lieu of the certifications described above to provide a properly executed IRS Form W-8ECI, or (ii) an applicable income tax treaty provides for a lower rate of, or exemption from, withholding tax.</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the case of a non-U.S. holder that is classified as a corporation and that receives income that is effectively connected with the conduct of a U.S. trade or business, such income may also be subject to a branch profits tax (which is generally imposed on a non-U.S. corporation on the actual or deemed repatriation from the U.S. of earnings and profits attributable to a U.S. trade or business) at a 30% rate. The branch profits tax may not apply (or may apply at a reduced rate) if the non-U.S. holder is a qualified resident of a country with which the U.S. has an income tax treaty.</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S-35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To claim the benefit of an income tax treaty or to claim exemption from withholding because income is effectively connected with a U.S. trade or business, the non-U.S. holder must timely provide the appropriate, properly executed IRS U.S. nonresident withholding tax certification form signed under penalties of perjury to the applicable withholding agent. These forms may be required to be periodically updated. Also, a non-U.S. holder who is claiming the benefits of a treaty may be required to obtain a United States taxpayer identification number and to provide certain documentary evidence issued by foreign governmental authorities to prove residence in the foreign country.</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Generally, a non-U.S. holder will not be subject to U.S. federal income or withholding taxes on any amount that constitutes capital gain upon the sale, exchange, redemption or retirement of a Note, provided the gain is not effectively connected with the conduct of a trade or business in the U.S.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color w:val="231F20"/>
          <w:sz w:val="20"/>
        </w:rPr>
        <w:t>Information Reporting and Backup Withholding</w:t>
      </w:r>
      <w:r>
        <w:rPr>
          <w:rFonts w:ascii="Times New Roman;Times;serif" w:hAnsi="Times New Roman;Times;serif"/>
          <w:color w:val="231F20"/>
          <w:sz w:val="20"/>
        </w:rPr>
        <w:t>. A U.S. holder (other than an “exempt recipient,” including a corporation and certain other persons who, when required, demonstrate their exempt status) may be subject to backup withholding at a rate of 24% on, and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If you are a non-U.S. holder, generally, the applicable withholding agent must report to the IRS and to your payments of interest on a Note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addition, payments of the proceeds from the sale of a Note to or through a non-U.S. office of a broker or the non-U.S. office of a custodian, nominee, or other dealer acting on behalf of a holder generally will not be subject to information reporting or backup withholding. However, if the broker, custodian, nominee, or other dealer is a U.S. person, the government of the United States or the government of any state or political subdivision of any state, or any agency or instrumentality of any of these governmental units, a CFC, a foreign partnership that is either engaged in a trade or business within the U.S. or whose U.S. resident partners in the aggregate hold more than 50% of the income or capital interest in the partnership, a non-U.S. person 50% or more of whose gross income for a certain period is effectively connected with a trade or business within the U.S., or a U.S. branch of a foreign bank or insurance company, information reporting (but not backup withholding) generally will be required with respect to payments made to a holder unless the broker, custodian, nominee, or other dealer has documentation of the holder’s non-U.S. status and the broker, custodian, nominee, or other dealer has no actual knowledge or reason to know to the contrary.</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You are urged to consult your tax advisor regarding the qualification for an exemption from backup withholding and information reporting and the procedures for obtaining such an exemption, if applicable. Any amounts withheld under the backup withholding rules from a payment to a beneficial owner generally would be allowed as a refund or a credit against such beneficial owner’s United States federal income tax provided the required information is timely furnished to the IRS.</w:t>
      </w:r>
    </w:p>
    <w:p>
      <w:pPr>
        <w:pStyle w:val="TextBody"/>
        <w:bidi w:val="0"/>
        <w:spacing w:lineRule="auto" w:line="285" w:before="0" w:after="0"/>
        <w:ind w:left="200" w:right="200" w:firstLine="360"/>
        <w:jc w:val="left"/>
        <w:rPr>
          <w:rFonts w:ascii="Aptos" w:hAnsi="Aptos"/>
          <w:sz w:val="20"/>
        </w:rPr>
      </w:pPr>
      <w:r>
        <w:rPr>
          <w:rFonts w:ascii="Times New Roman;Times;serif" w:hAnsi="Times New Roman;Times;serif"/>
          <w:i/>
          <w:color w:val="231F20"/>
          <w:sz w:val="20"/>
        </w:rPr>
        <w:t xml:space="preserve">FATCA Withholding on Payments to Certain Foreign Entities. </w:t>
      </w:r>
      <w:r>
        <w:rPr>
          <w:rFonts w:ascii="Times New Roman;Times;serif" w:hAnsi="Times New Roman;Times;serif"/>
          <w:color w:val="231F20"/>
          <w:sz w:val="20"/>
        </w:rPr>
        <w:t xml:space="preserve">The FATCA provisions of the Code as well as Treasury Regulations and other IRS administrative guidance promulgated thereunder, when applicable, generally impose a U.S. federal withholding tax of 30% on interest earned in respect of a debt instrument, (“withholdable payments”), which includes the Notes, to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S-36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color w:val="231F20"/>
          <w:sz w:val="20"/>
        </w:rPr>
      </w:pPr>
      <w:r>
        <w:rPr>
          <w:rFonts w:ascii="Times New Roman;Times;serif" w:hAnsi="Times New Roman;Times;serif"/>
          <w:color w:val="231F20"/>
          <w:sz w:val="20"/>
        </w:rPr>
        <w:t>certain non-U.S. entities (including, in some circumstances, where such an entity is acting as an intermediary) that fail to comply or is not deemed compliant with certain certification and information reporting requirements that are in addition to the requirement to provide an applicable U.S. nonresident withholding tax certification form, as discussed above. FATCA withholding taxes generally apply to all withholdable payments without regard to whether the beneficial owner of the payment would otherwise be entitled to an exemption from withholding taxes pursuant to an applicable tax treaty with the U.S. or under U.S. domestic law. If FATCA withholding taxes are imposed with respect to any payments of interest made or deemed made under the Notes, holders that are otherwise eligible for an exemption from, or reduction of, U.S. federal withholding taxes with respect to such interest or proceeds will be required to seek a credit or refund from the IRS in order to obtain the benefit of such exemption or reduction, if any. Holders of or prospective holders of the Notes may be required to provide additional information as specified in the Fourth Supplemental Indenture to enable the applicable withholding agent to determine whether withholding is required. Prospective holders of the Notes should consult their own tax advisors regarding the effect, if any, of the FATCA rules for them based on their particular circumstances.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Under the applicable Treasury Regulations, withholding under FATCA generally applies to payments of interest on the Notes from such Notes’ date of issuance. Currently, proposed Treasury Regulations have been issued that, when finalized, will provide for the repeal of the 30% withholding tax that would have applied to all payments of gross proceeds from the sale, exchange or disposition of stock, bonds, or other property that could give rise to dividends or interest. In the preamble to the proposed U.S. Treasury</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Regulations, the government provided that taxpayers may rely upon this repeal until the issuance of final U.S. Treasury Regulations. Prospective holders of the Notes should consult their own tax advisors regarding the effect, if any, of the FATCA rules for them based on their particular circumstances.</w:t>
      </w:r>
    </w:p>
    <w:p>
      <w:pPr>
        <w:pStyle w:val="TextBody"/>
        <w:bidi w:val="0"/>
        <w:spacing w:lineRule="auto" w:line="285" w:before="0" w:after="240"/>
        <w:ind w:left="200" w:right="200" w:firstLine="360"/>
        <w:jc w:val="left"/>
        <w:rPr>
          <w:rFonts w:ascii="Times New Roman;Times;serif" w:hAnsi="Times New Roman;Times;serif"/>
          <w:b/>
          <w:i/>
          <w:color w:val="231F20"/>
          <w:sz w:val="20"/>
        </w:rPr>
      </w:pPr>
      <w:r>
        <w:rPr>
          <w:rFonts w:ascii="Times New Roman;Times;serif" w:hAnsi="Times New Roman;Times;serif"/>
          <w:b/>
          <w:i/>
          <w:color w:val="231F20"/>
          <w:sz w:val="20"/>
        </w:rPr>
        <w:t>The preceding discussion of material U.S. federal income tax considerations is for general information only and is not tax advice. We urge you to consult your own tax advisor with respect to the particular tax consequences to you of an investment in the Notes, including the possible effect of any pending legislation or proposed regulations.</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S-37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20" w:name="UNDERWRITING_14441"/>
      <w:bookmarkStart w:id="21" w:name="_3fc1805c_9625_4071_86dc_6879fc6c2ccf"/>
      <w:bookmarkEnd w:id="20"/>
      <w:bookmarkEnd w:id="21"/>
      <w:r>
        <w:rPr>
          <w:rFonts w:ascii="Times New Roman;Times;serif" w:hAnsi="Times New Roman;Times;serif"/>
          <w:b/>
          <w:color w:val="231F20"/>
          <w:sz w:val="20"/>
        </w:rPr>
        <w:t>UNDERWRITING</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are offering the Notes described in this prospectus supplement and the accompanying prospectus through a number of underwriters. Oppenheimer &amp; Co. Inc. is acting as sole book-running manager. We and the Adviser have entered into an underwriting agreement with the underwriters. Subject to the terms and conditions of the underwriting agreement, we have agreed to sell to the underwriters, and each underwriter has agreed, severally and not jointly, to purchase from us, the aggregate principal amount of Notes listed next to its name in the following table:</w:t>
      </w:r>
    </w:p>
    <w:tbl>
      <w:tblPr>
        <w:tblW w:w="3873" w:type="dxa"/>
        <w:jc w:val="left"/>
        <w:tblInd w:w="200" w:type="dxa"/>
        <w:tblLayout w:type="fixed"/>
        <w:tblCellMar>
          <w:top w:w="0" w:type="dxa"/>
          <w:left w:w="0" w:type="dxa"/>
          <w:bottom w:w="0" w:type="dxa"/>
          <w:right w:w="0" w:type="dxa"/>
        </w:tblCellMar>
      </w:tblPr>
      <w:tblGrid>
        <w:gridCol w:w="2086"/>
        <w:gridCol w:w="346"/>
        <w:gridCol w:w="224"/>
        <w:gridCol w:w="1217"/>
      </w:tblGrid>
      <w:tr>
        <w:trPr/>
        <w:tc>
          <w:tcPr>
            <w:tcW w:w="20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Underwriters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4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Principal Amount</w:t>
            </w:r>
          </w:p>
        </w:tc>
      </w:tr>
      <w:tr>
        <w:trPr/>
        <w:tc>
          <w:tcPr>
            <w:tcW w:w="2086" w:type="dxa"/>
            <w:tcBorders>
              <w:top w:val="single" w:sz="2" w:space="0" w:color="000000"/>
            </w:tcBorders>
            <w:shd w:fill="CCEEFF" w:val="clear"/>
            <w:tcMar>
              <w:top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Oppenheimer &amp; Co.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24"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45,000,000</w:t>
            </w:r>
          </w:p>
        </w:tc>
      </w:tr>
      <w:tr>
        <w:trPr/>
        <w:tc>
          <w:tcPr>
            <w:tcW w:w="208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BC Partners Securities</w:t>
            </w:r>
          </w:p>
        </w:tc>
        <w:tc>
          <w:tcPr>
            <w:tcW w:w="346" w:type="dxa"/>
            <w:tcBorders/>
            <w:vAlign w:val="center"/>
          </w:tcPr>
          <w:p>
            <w:pPr>
              <w:pStyle w:val="TableContents"/>
              <w:bidi w:val="0"/>
              <w:spacing w:lineRule="auto" w:line="328" w:before="0" w:after="16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5,000,000</w:t>
            </w:r>
          </w:p>
        </w:tc>
      </w:tr>
      <w:tr>
        <w:trPr/>
        <w:tc>
          <w:tcPr>
            <w:tcW w:w="2086"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2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60" w:hanging="0"/>
              <w:jc w:val="right"/>
              <w:rPr>
                <w:rFonts w:ascii="Times New Roman;Times;serif" w:hAnsi="Times New Roman;Times;serif"/>
                <w:b/>
                <w:sz w:val="20"/>
              </w:rPr>
            </w:pPr>
            <w:r>
              <w:rPr>
                <w:rFonts w:ascii="Times New Roman;Times;serif" w:hAnsi="Times New Roman;Times;serif"/>
                <w:b/>
                <w:sz w:val="20"/>
              </w:rPr>
              <w:t>50,000,000</w:t>
            </w:r>
          </w:p>
        </w:tc>
      </w:tr>
    </w:tbl>
    <w:p>
      <w:pPr>
        <w:pStyle w:val="TextBody"/>
        <w:bidi w:val="0"/>
        <w:spacing w:lineRule="auto" w:line="328" w:before="0" w:after="160"/>
        <w:ind w:left="200" w:right="200" w:hanging="0"/>
        <w:jc w:val="left"/>
        <w:rPr/>
      </w:pPr>
      <w:r>
        <w:rPr/>
        <w: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Subject to the terms and conditions set forth in the underwriting agreement, the underwriters have agreed, severally and not jointly, to purchase all of the Notes sold under the underwriting agreement if any of these Notes are purchased.</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underwriters are offering the Notes, subject to prior sale, when, as and if issued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Commissions and Discounts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underwriters propose to initially offer some of the Notes directly to the public at the public offering price set forth on the cover page of this prospectus supplement.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following table shows the public offering price, underwriting discount and proceeds before expenses to us.</w:t>
      </w:r>
    </w:p>
    <w:p>
      <w:pPr>
        <w:pStyle w:val="Normal"/>
        <w:bidi w:val="0"/>
        <w:spacing w:before="200" w:after="200"/>
        <w:ind w:left="200" w:right="200" w:hanging="0"/>
        <w:jc w:val="left"/>
        <w:rPr>
          <w:sz w:val="4"/>
          <w:szCs w:val="4"/>
        </w:rPr>
      </w:pPr>
      <w:r>
        <w:rPr>
          <w:sz w:val="4"/>
          <w:szCs w:val="4"/>
        </w:rPr>
      </w:r>
      <w:bookmarkStart w:id="22" w:name="Tc_xn5hfXNGZU-a7gAw3uKn9w_3_5"/>
      <w:bookmarkStart w:id="23" w:name="Tc_A0GUUoI6gkqXB4Az3D3hXg_3_4"/>
      <w:bookmarkStart w:id="24" w:name="Tc_5XKk9f674k-O4GcJGcIQ1Q_3_3"/>
      <w:bookmarkStart w:id="25" w:name="Tc_kzISGqHg7EiAraL0ojvDfQ_3_2"/>
      <w:bookmarkStart w:id="26" w:name="Tc_TKTnZlS0EUq682fmfyuYrQ_3_0"/>
      <w:bookmarkStart w:id="27" w:name="Tc_KWeZWSmcCkCPfH4Smo-qPg_2_5"/>
      <w:bookmarkStart w:id="28" w:name="Tc_ABOA1FZpmkqiaI8CRLuX_g_2_4"/>
      <w:bookmarkStart w:id="29" w:name="Tc_IhJKeHZ-mUKQ99C5E_y_xA_2_3"/>
      <w:bookmarkStart w:id="30" w:name="Tc_CwXfio4jyUGmGDmvLUuPXA_2_0"/>
      <w:bookmarkStart w:id="31" w:name="Tc_4XKkUeFDZ0-0AjLvGAb8Gw_1_5"/>
      <w:bookmarkStart w:id="32" w:name="Tc_xkLUxWJF-kuFUVVWSvtefw_1_4"/>
      <w:bookmarkStart w:id="33" w:name="Tc_B8N0guoaDUq_76KYGIxm3g_1_3"/>
      <w:bookmarkStart w:id="34" w:name="Tc_hTdO34EkL0azkA7PlgzYvA_1_2"/>
      <w:bookmarkStart w:id="35" w:name="Tc_xPUIE71jnU6Lric6He1OLQ_1_0"/>
      <w:bookmarkStart w:id="36" w:name="Tc_gMQhCi9uskaH00lRWNyqyQ_0_4"/>
      <w:bookmarkStart w:id="37" w:name="Tc_PX3sg5hPiEmD0scPIlkVlA_0_2"/>
      <w:bookmarkStart w:id="38" w:name="_eb8a541e_b15f_40ec_ab75_13bdda52cab5"/>
      <w:bookmarkStart w:id="39" w:name="Tc_xn5hfXNGZU-a7gAw3uKn9w_3_5"/>
      <w:bookmarkStart w:id="40" w:name="Tc_A0GUUoI6gkqXB4Az3D3hXg_3_4"/>
      <w:bookmarkStart w:id="41" w:name="Tc_5XKk9f674k-O4GcJGcIQ1Q_3_3"/>
      <w:bookmarkStart w:id="42" w:name="Tc_kzISGqHg7EiAraL0ojvDfQ_3_2"/>
      <w:bookmarkStart w:id="43" w:name="Tc_TKTnZlS0EUq682fmfyuYrQ_3_0"/>
      <w:bookmarkStart w:id="44" w:name="Tc_KWeZWSmcCkCPfH4Smo-qPg_2_5"/>
      <w:bookmarkStart w:id="45" w:name="Tc_ABOA1FZpmkqiaI8CRLuX_g_2_4"/>
      <w:bookmarkStart w:id="46" w:name="Tc_IhJKeHZ-mUKQ99C5E_y_xA_2_3"/>
      <w:bookmarkStart w:id="47" w:name="Tc_CwXfio4jyUGmGDmvLUuPXA_2_0"/>
      <w:bookmarkStart w:id="48" w:name="Tc_4XKkUeFDZ0-0AjLvGAb8Gw_1_5"/>
      <w:bookmarkStart w:id="49" w:name="Tc_xkLUxWJF-kuFUVVWSvtefw_1_4"/>
      <w:bookmarkStart w:id="50" w:name="Tc_B8N0guoaDUq_76KYGIxm3g_1_3"/>
      <w:bookmarkStart w:id="51" w:name="Tc_hTdO34EkL0azkA7PlgzYvA_1_2"/>
      <w:bookmarkStart w:id="52" w:name="Tc_xPUIE71jnU6Lric6He1OLQ_1_0"/>
      <w:bookmarkStart w:id="53" w:name="Tc_gMQhCi9uskaH00lRWNyqyQ_0_4"/>
      <w:bookmarkStart w:id="54" w:name="Tc_PX3sg5hPiEmD0scPIlkVlA_0_2"/>
      <w:bookmarkStart w:id="55" w:name="_eb8a541e_b15f_40ec_ab75_13bdda52cab5"/>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tbl>
      <w:tblPr>
        <w:tblW w:w="5466" w:type="dxa"/>
        <w:jc w:val="left"/>
        <w:tblInd w:w="200" w:type="dxa"/>
        <w:tblLayout w:type="fixed"/>
        <w:tblCellMar>
          <w:top w:w="0" w:type="dxa"/>
          <w:left w:w="0" w:type="dxa"/>
          <w:bottom w:w="0" w:type="dxa"/>
          <w:right w:w="0" w:type="dxa"/>
        </w:tblCellMar>
      </w:tblPr>
      <w:tblGrid>
        <w:gridCol w:w="2656"/>
        <w:gridCol w:w="346"/>
        <w:gridCol w:w="751"/>
        <w:gridCol w:w="361"/>
        <w:gridCol w:w="211"/>
        <w:gridCol w:w="1141"/>
      </w:tblGrid>
      <w:tr>
        <w:trPr/>
        <w:tc>
          <w:tcPr>
            <w:tcW w:w="26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 Note</w:t>
            </w:r>
          </w:p>
        </w:tc>
        <w:tc>
          <w:tcPr>
            <w:tcW w:w="3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56"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Public offering price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98.859</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49,429,500</w:t>
            </w:r>
          </w:p>
        </w:tc>
      </w:tr>
      <w:tr>
        <w:trPr/>
        <w:tc>
          <w:tcPr>
            <w:tcW w:w="265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Underwriting discount</w:t>
            </w:r>
          </w:p>
        </w:tc>
        <w:tc>
          <w:tcPr>
            <w:tcW w:w="346" w:type="dxa"/>
            <w:tcBorders/>
            <w:vAlign w:val="center"/>
          </w:tcPr>
          <w:p>
            <w:pPr>
              <w:pStyle w:val="TableContents"/>
              <w:bidi w:val="0"/>
              <w:spacing w:lineRule="auto" w:line="328" w:before="0" w:after="160"/>
              <w:ind w:left="0" w:right="0" w:hanging="0"/>
              <w:jc w:val="left"/>
              <w:rPr/>
            </w:pPr>
            <w:r>
              <w:rP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750,000</w:t>
            </w:r>
          </w:p>
        </w:tc>
      </w:tr>
      <w:tr>
        <w:trPr/>
        <w:tc>
          <w:tcPr>
            <w:tcW w:w="2656"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to us, before expenses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97.359</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48,679,500</w:t>
            </w:r>
          </w:p>
        </w:tc>
      </w:tr>
    </w:tbl>
    <w:p>
      <w:pPr>
        <w:pStyle w:val="TextBody"/>
        <w:bidi w:val="0"/>
        <w:spacing w:lineRule="auto" w:line="328" w:before="0" w:after="160"/>
        <w:ind w:left="200" w:right="200" w:hanging="0"/>
        <w:jc w:val="left"/>
        <w:rPr/>
      </w:pPr>
      <w:r>
        <w:rPr/>
        <w: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expenses of the offering, not including the underwriting discount, are estimated at $265,000 and are payable by us.</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Settlement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expect that delivery of the Notes will be made against payment therefor on or about May 29, 2026, which will be the second business day following the date of pricing of the Notes, or “T+2.” Under Rule 15c6-1 of the Exchange Act, trades in the secondary market generally are required to settle in one business day, unless the parties to any such trade expressly agree otherwise. Accordingly, purchasers who wish to trade the Notes prior to the delivery of the Notes will be required, by virtue of the fact that the Notes initially settle in T+2, to specify an alternate settlement arrangement at the time of any such trade to prevent a failed settlement. Purchasers of the Notes who wish to trade the Notes prior to their date of delivery hereunder should consult their advisors.</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Listing</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do not intend to list the Notes on any securities exchange or automated dealer quotation system.</w:t>
      </w:r>
    </w:p>
    <w:p>
      <w:pPr>
        <w:pStyle w:val="TextBody"/>
        <w:bidi w:val="0"/>
        <w:spacing w:lineRule="auto" w:line="285" w:before="0" w:after="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 xml:space="preserve">We have been advised by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S-38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color w:val="231F20"/>
          <w:sz w:val="20"/>
        </w:rPr>
      </w:pPr>
      <w:r>
        <w:rPr>
          <w:rFonts w:ascii="Times New Roman;Times;serif" w:hAnsi="Times New Roman;Times;serif"/>
          <w:color w:val="231F20"/>
          <w:sz w:val="20"/>
        </w:rPr>
        <w:t>Accordingly, no assurance can be given as to the liquidity of, or development of a public trading market for, the Notes. If an active public trading market for the Notes does not develop, the market price and liquidity of the Notes may be adversely affected.</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No Sales of Similar Securities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For a period of 90 days after the date of this prospectus supplement, the Company will not without the prior written consent of the underwriters, subject to certain exceptions,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provided that the foregoing limitation will not apply to the Company’s ability to file a post-effective amendment to its registration statement for purposes of adding the underwriting agreement, the Indenture, and certain other documents related to the transactions contemplated by the underwriting agreement as exhibits to the registration statement. This consent may be given at any time without public notice.</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Price Stabilizations and Short Positions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connection with the offering, the underwriters may purchase and sell Notes in the open market. These transactions may include short sales, purchases to cover positions created by short sales and stabilizing transactions. Short sales involve the sale by the underwriters of a greater number of Notes than required to be purchased in this offering. Covering transactions involve purchases of the Notes in the open market after the distribution has been completed in order to cover short positions. Stabilizing transactions consist of bids for or purchases of securities in the open market while the offering is in progress for the purpose of fixing or maintaining the price of the securities.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underwriters also may impose a penalty bid. Penalty bids permit the underwriters to reclaim a selling concession from an underwriter or syndicate member when the underwriter repurchases securities originally sold by that underwriter or syndicate member in order to cover syndicate short positions or make stabilizing purchases.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of these activities may have the effect of raising or maintaining the market price of the securities or preventing or retarding a decline in the market price of the securities. As a result, the price of the securities may be higher than the price that might otherwise exist in the open market. Neither we nor any of the underwriters makes any representation or prediction as to the direction or magnitude of any effect that the transactions described above may have on the price of our securities. In addition, neither we nor any of the underwriters makes any representation that the underwriters will engage in these transactions. If the underwriters commence any of these transactions, they may discontinue them at any time.</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Additional Underwriter Relationships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Certain of the underwriters and their respective affiliates have from time to time performed and may in the future perform various commercial banking, financial advisory and investment banking services for us and our affiliates for which they have received or will receive customary compensation.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In addition, BC Partners Securities LLC, an affiliate of BC Partners Credit, is a broker-dealer and member of FINRA and will participate as an underwriter in this offering. As noted above, a fund advised and managed by BC Partners Credit and its affiliates owns a majority of RGC. Additionally, certain members of our Board of Directors serve as senior management of BC Partners Credit, including Edward Goldthorpe, the Chairman of our board of directors. Moreover, (1) an affiliate of BC Partners Credit also owns a minority investment in MLCI, (2) certain members of the senior management of BC Partners Credit serve as the management team of MLCI, and (3) BC Partners Credit provides certain services and shares certain personnel with MLCI through a servicing agreement and a staffing and resource agreement.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Despite the conflict of interest, no “qualified independent underwriter” is required because (i) the underwriter primarily responsible for managing the public offering does not have a conflict of interest, is not an affiliate of any underwriter that does have a conflict of interest and meets the requirements of FINRA Rule 5121(f)(12)(E), or (ii) the Notes are investment grade rated.</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Sales Outside the United States</w:t>
      </w:r>
    </w:p>
    <w:p>
      <w:pPr>
        <w:pStyle w:val="TextBody"/>
        <w:bidi w:val="0"/>
        <w:spacing w:lineRule="auto" w:line="285" w:before="0" w:after="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 xml:space="preserve">No action has been taken in any jurisdiction (except in the United States) that would permit a public offering of the Notes, or the possession, circulation or distribution of this prospectus supplement or accompanying prospectus or any other material relating to us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S-39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color w:val="231F20"/>
          <w:sz w:val="20"/>
        </w:rPr>
      </w:pPr>
      <w:r>
        <w:rPr>
          <w:rFonts w:ascii="Times New Roman;Times;serif" w:hAnsi="Times New Roman;Times;serif"/>
          <w:color w:val="231F20"/>
          <w:sz w:val="20"/>
        </w:rPr>
        <w:t>or the Notes in any jurisdiction where action for that purpose is required. Accordingly, the Notes may not be offered or sold, directly or indirectly, and none of this prospectus supplement, the accompanying prospectus or any other offering material or advertisements in connection with the Notes may be distributed or published, in or from any country or jurisdiction except in compliance with any applicable rules and regulations of any such country or jurisdiction.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Each of the underwriters may arrange to sell the Notes offered hereby in certain jurisdictions outside the United States, either directly or through affiliates, where it is permitted to do so.</w:t>
      </w:r>
    </w:p>
    <w:p>
      <w:pPr>
        <w:pStyle w:val="TextBody"/>
        <w:bidi w:val="0"/>
        <w:spacing w:lineRule="auto" w:line="285" w:before="0" w:after="240"/>
        <w:ind w:left="200" w:right="200" w:hanging="0"/>
        <w:jc w:val="left"/>
        <w:rPr>
          <w:rFonts w:ascii="Times New Roman;Times;serif" w:hAnsi="Times New Roman;Times;serif"/>
          <w:b/>
          <w:color w:val="231F20"/>
          <w:sz w:val="20"/>
        </w:rPr>
      </w:pPr>
      <w:r>
        <w:rPr>
          <w:rFonts w:ascii="Times New Roman;Times;serif" w:hAnsi="Times New Roman;Times;serif"/>
          <w:b/>
          <w:color w:val="231F20"/>
          <w:sz w:val="20"/>
        </w:rPr>
        <w:t>Electronic Delivery</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underwriters may make this prospectus supplement and accompanying prospectus available in an electronic format. The prospectus supplement and accompanying prospectus in electronic format may be made available on a website maintained by any of the underwriters, and the underwriters may distribute such documents electronically. The underwriters may agree with us to allocate a limited number of Notes for sale to their online brokerage customers. Any such allocation for online distributions will be made by the underwriters on the same basis as other allocations.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and our Adviser have agreed to indemnify the several underwriters against certain liabilities, including liabilities under the Securities Act.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The principal business address of Oppenheimer &amp; Co. Inc. is 85 Broad Street, 23rd Floor, New York, NY 10004.</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S-40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56" w:name="LEGALMATTERS_482078"/>
      <w:bookmarkStart w:id="57" w:name="_17e3227a_4ded_46b6_befa_2122a53bb7d0"/>
      <w:bookmarkEnd w:id="56"/>
      <w:bookmarkEnd w:id="57"/>
      <w:r>
        <w:rPr>
          <w:rFonts w:ascii="Times New Roman;Times;serif" w:hAnsi="Times New Roman;Times;serif"/>
          <w:b/>
          <w:color w:val="231F20"/>
          <w:sz w:val="20"/>
        </w:rPr>
        <w:t>LEGAL MATTERS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Certain legal matters regarding the Notes offered by this prospectus supplement will be passed upon for us by Dechert LLP. Certain legal matters in connection with the Notes offered hereby will be passed upon for the underwriters by Eversheds Sutherland (US) LLP.</w:t>
      </w:r>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58" w:name="INDEPENDENTREGIST_877795"/>
      <w:bookmarkStart w:id="59" w:name="_d74c8fc7_b8b1_4d5c_842b_d75ebf490c98"/>
      <w:bookmarkEnd w:id="58"/>
      <w:bookmarkEnd w:id="59"/>
      <w:r>
        <w:rPr>
          <w:rFonts w:ascii="Times New Roman;Times;serif" w:hAnsi="Times New Roman;Times;serif"/>
          <w:b/>
          <w:color w:val="231F20"/>
          <w:sz w:val="20"/>
        </w:rPr>
        <w:t>INDEPENDENT REGISTERED PUBLIC ACCOUNTING FIRM</w:t>
      </w:r>
    </w:p>
    <w:p>
      <w:pPr>
        <w:pStyle w:val="TextBody"/>
        <w:bidi w:val="0"/>
        <w:spacing w:lineRule="auto" w:line="285" w:before="0" w:after="240"/>
        <w:ind w:left="200" w:right="200" w:firstLine="360"/>
        <w:jc w:val="left"/>
        <w:rPr/>
      </w:pPr>
      <w:r>
        <w:rPr>
          <w:rFonts w:ascii="Times New Roman;Times;serif" w:hAnsi="Times New Roman;Times;serif"/>
          <w:color w:val="231F20"/>
          <w:sz w:val="20"/>
        </w:rPr>
        <w:t xml:space="preserve">The financial statements of Runway Growth Finance Corp. as of December 31, 2025 and 2024 and for the two-year period ended December 31, 2025 incorporated in this prospectus supplement and the accompanying prospectus by reference from the Runway Growth Finance Corp. </w:t>
      </w:r>
      <w:hyperlink r:id="rId2">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color w:val="231F20"/>
          <w:sz w:val="20"/>
        </w:rPr>
        <w:t>, as amended, have been audited by Deloitte &amp; Touche LLP, an independent registered public accounting firm, as stated in their report thereon, incorporated herein by reference, and have been incorporated in this prospectus supplement, the accompanying prospectus and the registration statement on Form N-2 in reliance upon such reports of such firm given their authority as experts in accounting and auditing.</w:t>
      </w:r>
    </w:p>
    <w:p>
      <w:pPr>
        <w:pStyle w:val="TextBody"/>
        <w:bidi w:val="0"/>
        <w:spacing w:lineRule="auto" w:line="285" w:before="0" w:after="240"/>
        <w:ind w:left="200" w:right="200" w:firstLine="360"/>
        <w:jc w:val="left"/>
        <w:rPr/>
      </w:pPr>
      <w:r>
        <w:rPr>
          <w:rFonts w:ascii="Times New Roman;Times;serif" w:hAnsi="Times New Roman;Times;serif"/>
          <w:color w:val="231F20"/>
          <w:sz w:val="20"/>
        </w:rPr>
        <w:t xml:space="preserve">The financial statements of Runway Growth Finance Corp. as of December 31, 2023 and for the one- year period ended December 31, 2023 incorporated in this prospectus supplement and the accompanying prospectus by reference from the Runway Growth Finance Corp. </w:t>
      </w:r>
      <w:hyperlink r:id="rId3">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color w:val="231F20"/>
          <w:sz w:val="20"/>
        </w:rPr>
        <w:t>, as amended, have been audited by RSM US LLP, an independent registered public accounting firm, as stated in their report thereon, incorporated herein by reference, and have been incorporated in this prospectus supplement, the accompanying prospectus and the registration statement on Form N-2 in reliance upon such reports.</w:t>
      </w:r>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60" w:name="AVAILABLEINFORMATION_387161"/>
      <w:bookmarkStart w:id="61" w:name="_436813d4_b79b_4d52_ba78_8c2c8e356e57"/>
      <w:bookmarkEnd w:id="60"/>
      <w:bookmarkEnd w:id="61"/>
      <w:r>
        <w:rPr>
          <w:rFonts w:ascii="Times New Roman;Times;serif" w:hAnsi="Times New Roman;Times;serif"/>
          <w:b/>
          <w:color w:val="231F20"/>
          <w:sz w:val="20"/>
        </w:rPr>
        <w:t>AVAILABLE INFORMATION</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have filed with the SEC a universal shelf registration statement, of which this prospectus supplement forms a part, on Form N-2, together with all amendments and related exhibits, under the Securities Act, with respect to the Notes offered by this prospectus supplement and the accompanying prospectus. The registration statement contains additional information about us and the Notes being offered by this prospectus supplement and the accompanying prospectus.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We file with or submit to the SEC annual, quarterly and current periodic reports, proxy statements and other information meeting the informational requirements of the Exchange Act. The SEC maintains a website that contains reports, proxy and information statements and other information filed electronically by us with the SEC at </w:t>
      </w:r>
      <w:r>
        <w:rPr>
          <w:rFonts w:ascii="Times New Roman;Times;serif" w:hAnsi="Times New Roman;Times;serif"/>
          <w:i/>
          <w:color w:val="231F20"/>
          <w:sz w:val="20"/>
        </w:rPr>
        <w:t>www.sec.gov</w:t>
      </w:r>
      <w:r>
        <w:rPr>
          <w:rFonts w:ascii="Times New Roman;Times;serif" w:hAnsi="Times New Roman;Times;serif"/>
          <w:color w:val="231F20"/>
          <w:sz w:val="20"/>
        </w:rPr>
        <w:t xml:space="preserve">. We maintain a website at </w:t>
      </w:r>
      <w:r>
        <w:rPr>
          <w:rFonts w:ascii="Times New Roman;Times;serif" w:hAnsi="Times New Roman;Times;serif"/>
          <w:i/>
          <w:color w:val="231F20"/>
          <w:sz w:val="20"/>
        </w:rPr>
        <w:t xml:space="preserve">https://investors.runwaygrowth.com/financial-information/sec-filings </w:t>
      </w:r>
      <w:r>
        <w:rPr>
          <w:rFonts w:ascii="Times New Roman;Times;serif" w:hAnsi="Times New Roman;Times;serif"/>
          <w:color w:val="231F20"/>
          <w:sz w:val="20"/>
        </w:rPr>
        <w:t>and make all of our annual, quarterly and current reports, proxy statements and other publicly filed information available, free of charge, on or through our website. This information is also available, free of charge, by contacting us in writing at 205 N. Michigan Ave., Suite 4200, Chicago, IL 60601, or by emailing us at prospectus@runwaygrowth.com. Information contained on, or that can be accessed through, our website is not incorporated by reference into this prospectus supplement or the accompanying prospectus, and you should not consider such information to be part of this prospectus supplement or the accompanying prospectus.</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S-41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color w:val="231F20"/>
          <w:sz w:val="20"/>
        </w:rPr>
      </w:pPr>
      <w:bookmarkStart w:id="62" w:name="INCORPORATIONBYREFERENCE_594736"/>
      <w:bookmarkStart w:id="63" w:name="_201d2d1a_c7af_4726_a153_36a3115c7cac"/>
      <w:bookmarkEnd w:id="62"/>
      <w:bookmarkEnd w:id="63"/>
      <w:r>
        <w:rPr>
          <w:rFonts w:ascii="Times New Roman;Times;serif" w:hAnsi="Times New Roman;Times;serif"/>
          <w:b/>
          <w:color w:val="231F20"/>
          <w:sz w:val="20"/>
        </w:rPr>
        <w:t>INCORPORATION BY REFERENCE</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incorporate by reference in this prospectus supplement the documents listed below and any future reports and other documents we file with the SEC pursuant to Sections 13(a), 13(c), 14 or 15(d) of the Exchange Act, until all of the securities offered by this prospectus supplement have been sold or we otherwise terminate the offering of these securities (such reports and other documents deemed to be incorporated by reference into this prospectus supplement and to be part hereof from the date of filing of such reports and other documents); provided, however, that information “furnished” under Item 2.02 or Item 7.01 of</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Form 8-K, or other information “furnished” to the SEC pursuant to the Exchange Act will not be incorporated by reference into this prospectus supplement:</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our Annual Report on Form 10-K for the fiscal year ended December 31, 2025 filed with the SEC on March 12, 2026;</w:t>
              </w:r>
            </w:hyperlink>
          </w:p>
        </w:tc>
      </w:tr>
    </w:tbl>
    <w:tbl>
      <w:tblPr>
        <w:tblW w:w="9411" w:type="dxa"/>
        <w:jc w:val="left"/>
        <w:tblInd w:w="20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Times;serif" w:hAnsi="Times New Roman;Times;serif"/>
                  <w:b w:val="false"/>
                  <w:i w:val="false"/>
                  <w:caps w:val="false"/>
                  <w:smallCaps w:val="false"/>
                  <w:sz w:val="20"/>
                </w:rPr>
                <w:t>our Quarterly Report on Form 10-Q for the quarter ended March 31, 2026, filed with the SEC on May 7, 2026;</w:t>
              </w:r>
            </w:hyperlink>
          </w:p>
        </w:tc>
      </w:tr>
    </w:tbl>
    <w:tbl>
      <w:tblPr>
        <w:tblW w:w="7611" w:type="dxa"/>
        <w:jc w:val="left"/>
        <w:tblInd w:w="20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Times;serif" w:hAnsi="Times New Roman;Times;serif"/>
                  <w:b w:val="false"/>
                  <w:i w:val="false"/>
                  <w:caps w:val="false"/>
                  <w:smallCaps w:val="false"/>
                  <w:sz w:val="20"/>
                </w:rPr>
                <w:t>our Definitive Proxy Statement on Schedule 14A, filed with the SEC on April 29, 2026;</w:t>
              </w:r>
            </w:hyperlink>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our Current Reports on Form 8-K (other than information furnished rather than filed) filed with the </w:t>
            </w:r>
            <w:r>
              <w:rPr>
                <w:rFonts w:ascii="Times New Roman;Times;serif" w:hAnsi="Times New Roman;Times;serif"/>
                <w:b w:val="false"/>
                <w:i w:val="false"/>
                <w:caps w:val="false"/>
                <w:smallCaps w:val="false"/>
                <w:sz w:val="20"/>
              </w:rPr>
              <w:t xml:space="preserve">SEC on </w:t>
            </w:r>
            <w:hyperlink r:id="rId7">
              <w:r>
                <w:rPr>
                  <w:rStyle w:val="InternetLink"/>
                  <w:rFonts w:ascii="Times New Roman;Times;serif" w:hAnsi="Times New Roman;Times;serif"/>
                  <w:b w:val="false"/>
                  <w:i w:val="false"/>
                  <w:caps w:val="false"/>
                  <w:smallCaps w:val="false"/>
                  <w:sz w:val="20"/>
                </w:rPr>
                <w:t>January 29,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February 3, 2026</w:t>
              </w:r>
            </w:hyperlink>
            <w:r>
              <w:rPr>
                <w:caps w:val="false"/>
                <w:smallCaps w:val="false"/>
              </w:rPr>
              <w:t xml:space="preserve"> </w:t>
            </w:r>
            <w:r>
              <w:rPr>
                <w:rFonts w:ascii="Times New Roman;Times;serif" w:hAnsi="Times New Roman;Times;serif"/>
                <w:b w:val="false"/>
                <w:i w:val="false"/>
                <w:caps w:val="false"/>
                <w:smallCaps w:val="false"/>
                <w:sz w:val="20"/>
              </w:rPr>
              <w:t xml:space="preserve">and </w:t>
            </w:r>
            <w:hyperlink r:id="rId9">
              <w:r>
                <w:rPr>
                  <w:rStyle w:val="InternetLink"/>
                  <w:rFonts w:ascii="Times New Roman;Times;serif" w:hAnsi="Times New Roman;Times;serif"/>
                  <w:b w:val="false"/>
                  <w:i w:val="false"/>
                  <w:caps w:val="false"/>
                  <w:smallCaps w:val="false"/>
                  <w:sz w:val="20"/>
                </w:rPr>
                <w:t>April 7, 2026</w:t>
              </w:r>
            </w:hyperlink>
            <w:r>
              <w:rPr>
                <w:rFonts w:ascii="Times New Roman;Times;serif" w:hAnsi="Times New Roman;Times;serif"/>
                <w:b w:val="false"/>
                <w:i w:val="false"/>
                <w:caps w:val="false"/>
                <w:smallCaps w:val="false"/>
                <w:sz w:val="20"/>
              </w:rPr>
              <w:t>;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20"/>
              </w:rPr>
              <w:t xml:space="preserve">the description of our Common Stock referenced in our Registration Statement on </w:t>
            </w:r>
            <w:hyperlink r:id="rId10">
              <w:r>
                <w:rPr>
                  <w:rStyle w:val="InternetLink"/>
                  <w:rFonts w:ascii="Times New Roman;Times;serif" w:hAnsi="Times New Roman;Times;serif"/>
                  <w:b w:val="false"/>
                  <w:i w:val="false"/>
                  <w:caps w:val="false"/>
                  <w:smallCaps w:val="false"/>
                  <w:sz w:val="20"/>
                </w:rPr>
                <w:t>Form</w:t>
              </w:r>
            </w:hyperlink>
            <w:r>
              <w:rPr>
                <w:caps w:val="false"/>
                <w:smallCaps w:val="false"/>
              </w:rPr>
              <w:t xml:space="preserve"> </w:t>
            </w:r>
            <w:hyperlink r:id="rId11">
              <w:r>
                <w:rPr>
                  <w:rStyle w:val="InternetLink"/>
                  <w:rFonts w:ascii="Times New Roman;Times;serif" w:hAnsi="Times New Roman;Times;serif"/>
                  <w:b w:val="false"/>
                  <w:i w:val="false"/>
                  <w:caps w:val="false"/>
                  <w:smallCaps w:val="false"/>
                  <w:sz w:val="20"/>
                </w:rPr>
                <w:t>8-A (No. 001-40938), as filed with the SEC on October 20, 2021</w:t>
              </w:r>
            </w:hyperlink>
            <w:r>
              <w:rPr>
                <w:rFonts w:ascii="Times New Roman;Times;serif" w:hAnsi="Times New Roman;Times;serif"/>
                <w:b w:val="false"/>
                <w:i w:val="false"/>
                <w:caps w:val="false"/>
                <w:smallCaps w:val="false"/>
                <w:color w:val="231F20"/>
                <w:sz w:val="20"/>
              </w:rPr>
              <w:t>, including any amendment or report filed for the purpose of updating such description prior to the termination of the offering of the common stock registered hereby.</w:t>
            </w:r>
          </w:p>
        </w:tc>
      </w:tr>
    </w:tbl>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To obtain copies of these filings, see “Available Information” in this prospectus supplement.</w:t>
      </w:r>
    </w:p>
    <w:p>
      <w:pPr>
        <w:pStyle w:val="TextBody"/>
        <w:bidi w:val="0"/>
        <w:spacing w:lineRule="auto" w:line="328" w:before="0" w:after="160"/>
        <w:ind w:left="200" w:right="200" w:hanging="0"/>
        <w:jc w:val="left"/>
        <w:rPr/>
      </w:pPr>
      <w:r>
        <w:rPr/>
        <w:t>​</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S-42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00"/>
        <w:ind w:left="200" w:right="200" w:hanging="0"/>
        <w:jc w:val="left"/>
        <w:rPr>
          <w:rFonts w:ascii="Times New Roman;Times;serif" w:hAnsi="Times New Roman;Times;serif"/>
          <w:b/>
          <w:sz w:val="20"/>
        </w:rPr>
      </w:pPr>
      <w:bookmarkStart w:id="64" w:name="_bf49f762_b886_41d6_960d_43902020fd3e"/>
      <w:bookmarkEnd w:id="64"/>
      <w:r>
        <w:rPr>
          <w:rFonts w:ascii="Times New Roman;Times;serif" w:hAnsi="Times New Roman;Times;serif"/>
          <w:b/>
          <w:sz w:val="20"/>
        </w:rPr>
        <w:t>PROSPECTUS</w:t>
      </w:r>
    </w:p>
    <w:p>
      <w:pPr>
        <w:pStyle w:val="TextBody"/>
        <w:bidi w:val="0"/>
        <w:spacing w:lineRule="auto" w:line="285" w:before="0" w:after="100"/>
        <w:ind w:left="200" w:right="200" w:firstLine="360"/>
        <w:jc w:val="center"/>
        <w:rPr>
          <w:rFonts w:ascii="Times New Roman;Times;serif" w:hAnsi="Times New Roman;Times;serif"/>
          <w:b/>
          <w:sz w:val="20"/>
        </w:rPr>
      </w:pPr>
      <w:r>
        <w:rPr>
          <w:rFonts w:ascii="Times New Roman;Times;serif" w:hAnsi="Times New Roman;Times;serif"/>
          <w:b/>
          <w:sz w:val="20"/>
        </w:rPr>
        <w:t>$250,000,000</w:t>
      </w:r>
    </w:p>
    <w:p>
      <w:pPr>
        <w:pStyle w:val="TextBody"/>
        <w:bidi w:val="0"/>
        <w:spacing w:lineRule="auto" w:line="285" w:before="0" w:after="100"/>
        <w:ind w:left="200" w:right="200" w:firstLine="360"/>
        <w:jc w:val="center"/>
        <w:rPr>
          <w:rFonts w:ascii="Times New Roman;Times;serif" w:hAnsi="Times New Roman;Times;serif"/>
          <w:b/>
          <w:sz w:val="30"/>
        </w:rPr>
      </w:pPr>
      <w:r>
        <w:rPr>
          <w:rFonts w:ascii="Times New Roman;Times;serif" w:hAnsi="Times New Roman;Times;serif"/>
          <w:b/>
          <w:sz w:val="30"/>
        </w:rPr>
        <w:t>RUNWAY GROWTH FINANCE CORP.</w:t>
      </w:r>
    </w:p>
    <w:p>
      <w:pPr>
        <w:pStyle w:val="TextBody"/>
        <w:bidi w:val="0"/>
        <w:spacing w:lineRule="auto" w:line="285" w:before="0" w:after="100"/>
        <w:ind w:left="200" w:right="200" w:firstLine="360"/>
        <w:jc w:val="center"/>
        <w:rPr>
          <w:rFonts w:ascii="Times New Roman;Times;serif" w:hAnsi="Times New Roman;Times;serif"/>
          <w:b/>
          <w:sz w:val="20"/>
        </w:rPr>
      </w:pPr>
      <w:r>
        <w:rPr>
          <w:rFonts w:ascii="Times New Roman;Times;serif" w:hAnsi="Times New Roman;Times;serif"/>
          <w:b/>
          <w:sz w:val="20"/>
        </w:rPr>
        <w:t>Common Stock</w:t>
      </w:r>
    </w:p>
    <w:p>
      <w:pPr>
        <w:pStyle w:val="TextBody"/>
        <w:bidi w:val="0"/>
        <w:spacing w:lineRule="auto" w:line="285" w:before="0" w:after="100"/>
        <w:ind w:left="200" w:right="200" w:firstLine="360"/>
        <w:jc w:val="center"/>
        <w:rPr>
          <w:rFonts w:ascii="Times New Roman;Times;serif" w:hAnsi="Times New Roman;Times;serif"/>
          <w:b/>
          <w:sz w:val="20"/>
        </w:rPr>
      </w:pPr>
      <w:r>
        <w:rPr>
          <w:rFonts w:ascii="Times New Roman;Times;serif" w:hAnsi="Times New Roman;Times;serif"/>
          <w:b/>
          <w:sz w:val="20"/>
        </w:rPr>
        <w:t>Preferred Stock</w:t>
      </w:r>
    </w:p>
    <w:p>
      <w:pPr>
        <w:pStyle w:val="TextBody"/>
        <w:bidi w:val="0"/>
        <w:spacing w:lineRule="auto" w:line="285" w:before="0" w:after="100"/>
        <w:ind w:left="200" w:right="200" w:firstLine="360"/>
        <w:jc w:val="center"/>
        <w:rPr>
          <w:rFonts w:ascii="Times New Roman;Times;serif" w:hAnsi="Times New Roman;Times;serif"/>
          <w:b/>
          <w:sz w:val="20"/>
        </w:rPr>
      </w:pPr>
      <w:r>
        <w:rPr>
          <w:rFonts w:ascii="Times New Roman;Times;serif" w:hAnsi="Times New Roman;Times;serif"/>
          <w:b/>
          <w:sz w:val="20"/>
        </w:rPr>
        <w:t>Warrants</w:t>
      </w:r>
    </w:p>
    <w:p>
      <w:pPr>
        <w:pStyle w:val="TextBody"/>
        <w:bidi w:val="0"/>
        <w:spacing w:lineRule="auto" w:line="285" w:before="0" w:after="100"/>
        <w:ind w:left="200" w:right="200" w:firstLine="360"/>
        <w:jc w:val="center"/>
        <w:rPr>
          <w:rFonts w:ascii="Times New Roman;Times;serif" w:hAnsi="Times New Roman;Times;serif"/>
          <w:b/>
          <w:sz w:val="20"/>
        </w:rPr>
      </w:pPr>
      <w:r>
        <w:rPr>
          <w:rFonts w:ascii="Times New Roman;Times;serif" w:hAnsi="Times New Roman;Times;serif"/>
          <w:b/>
          <w:sz w:val="20"/>
        </w:rPr>
        <w:t>Subscription Rights</w:t>
      </w:r>
    </w:p>
    <w:p>
      <w:pPr>
        <w:pStyle w:val="TextBody"/>
        <w:bidi w:val="0"/>
        <w:spacing w:lineRule="auto" w:line="285" w:before="0" w:after="100"/>
        <w:ind w:left="200" w:right="200" w:firstLine="360"/>
        <w:jc w:val="center"/>
        <w:rPr>
          <w:rFonts w:ascii="Times New Roman;Times;serif" w:hAnsi="Times New Roman;Times;serif"/>
          <w:b/>
          <w:sz w:val="20"/>
        </w:rPr>
      </w:pPr>
      <w:r>
        <w:rPr>
          <w:rFonts w:ascii="Times New Roman;Times;serif" w:hAnsi="Times New Roman;Times;serif"/>
          <w:b/>
          <w:sz w:val="20"/>
        </w:rPr>
        <w:t>Debt Securities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are a specialty finance company focused on providing senior secured loans to high-growth potential companies in technology, healthcare, business services, financial services, and select consumer services and products in other high-growth industries.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invest in senior secured term loans and other senior debt obligations and may on occasion invest in second lien loans. We have and continue to expect to acquire warrants and other equity securities from portfolio companies in connection with our investments in loans to these companies. Our investment objective is to maximize our total return to our stockholders primarily through current income on our loan portfolio, and secondarily through capital appreciation on our warrants and other equity positions, by providing our portfolio companies with financing solutions that are more flexible than traditional credit and less dilutive than equity.</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are a closed-end management investment company that has elected to be regulated as a business development company (“BDC”) under the Investment Company Act of 1940, as amended. We have elected to be treated, and intend to qualify annually, as a regulated investment company (“RIC”) under the Internal Revenue Code of 1986, as amended (the “Code”) for U.S. federal income tax purposes. As a BDC and a RIC, we are required to comply with certain regulatory requirements.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are externally managed by our investment adviser, Runway Growth Capital, LLC (“Runway Growth Capital”). Runway Growth Capital was formed in 2015 to pursue an investment strategy focused on providing growth financing for dynamic, late and growth stage companies.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are an “emerging growth company,” as defined in Section 2(a) of the U.S. Securities Act of 1933, as amended (the “Securities Act”), and are subject to reduced public company reporting requirements and are taking advantage of the extended transition period provided in Section 7(a)(2)(B) of the Securities Act.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may offer, from time to time, in one or more offerings or series, up to $250,000,000 of our common stock, preferred stock, debt securities, subscription rights to purchase shares of our common stock, and/or warrants representing rights to purchase shares of our common stock, preferred stock or debt securities (collectively,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You should read this prospectus and the applicable prospectus supplement carefully before you invest in our securities.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shareholders, (ii) with the prior approval of the majority of our outstanding voting securities or (iii) under such other circumstances as the U.S. Securities and Exchange Commission (“SEC”) may permit.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w:t>
      </w:r>
      <w:r>
        <w:rPr>
          <w:rFonts w:ascii="Times New Roman;Times;serif" w:hAnsi="Times New Roman;Times;serif"/>
          <w:i/>
          <w:sz w:val="20"/>
        </w:rPr>
        <w:t>Plan of Distribution</w:t>
      </w:r>
      <w:r>
        <w:rPr>
          <w:rFonts w:ascii="Times New Roman;Times;serif" w:hAnsi="Times New Roman;Times;serif"/>
          <w:sz w:val="20"/>
        </w:rPr>
        <w:t>.” We may not sell any of the securities pursuant to this Registration Statement through agents, underwriters or dealers without delivery of this prospectus and a prospectus supplement describing the method and terms of the offering of such securities.</w:t>
      </w:r>
    </w:p>
    <w:p>
      <w:pPr>
        <w:pStyle w:val="TextBody"/>
        <w:bidi w:val="0"/>
        <w:spacing w:lineRule="auto" w:line="285" w:before="0" w:after="0"/>
        <w:ind w:left="200" w:right="200" w:hanging="0"/>
        <w:jc w:val="left"/>
        <w:rPr/>
      </w:pPr>
      <w:r>
        <w:rPr/>
        <w:t>​</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Our common stock is traded on the Nasdaq Global Select Market (“Nasdaq”) under the symbol “RWAY.” On March 17, 2025, the last reported sales price of our common stock on Nasdaq was $10.89</w:t>
      </w:r>
      <w:r>
        <w:rPr>
          <w:rFonts w:ascii="Aptos" w:hAnsi="Aptos"/>
          <w:sz w:val="20"/>
        </w:rPr>
        <w:t xml:space="preserve"> </w:t>
      </w:r>
      <w:r>
        <w:rPr>
          <w:rFonts w:ascii="Times New Roman;Times;serif" w:hAnsi="Times New Roman;Times;serif"/>
          <w:sz w:val="20"/>
        </w:rPr>
        <w:t>per share. The net asset value per share of our common stock at September 30, 2024 (the last date prior to the date of this prospectus for which we reported net asset value) was $13.39.</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b/>
          <w:sz w:val="20"/>
        </w:rPr>
        <w:t>Investing in our securities involves a high degree of risk, including credit risk, the risk of the use of leverage and the risk of dilution, and is highly speculative. In addition, shares of closed-end investment companies, including BDCs, frequently trade at a discount to their net asset values. If our shares of our common stock trade at a discount to our net asset value, it will likely increase the risk of loss for purchasers in an offering made pursuant to this prospectus or any related prospectus supplement. Before investing in our securities, you should read the discussion of the material risks of investing in our securities, including the risk of leverage and dilution, in “Risk Factors” beginning on page 18</w:t>
      </w:r>
      <w:r>
        <w:rPr>
          <w:rFonts w:ascii="Aptos" w:hAnsi="Aptos"/>
          <w:sz w:val="20"/>
        </w:rPr>
        <w:t xml:space="preserve"> </w:t>
      </w:r>
      <w:r>
        <w:rPr>
          <w:rFonts w:ascii="Times New Roman;Times;serif" w:hAnsi="Times New Roman;Times;serif"/>
          <w:b/>
          <w:sz w:val="20"/>
        </w:rPr>
        <w:t>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also file periodic and current reports, proxy statements and other information about us with the SEC. This information is available free of charge by contacting us at 205 N. Michigan Ave., Suite 4200, Chicago, IL 60601, calling us at (312) 698-6902 or visiting our corporate website located at https://runwaygrowth.com/document-center/. The SEC also maintains a website at http://www.sec.gov that contains this information. Information on our website or the SEC’s website is not incorporated into or a part of this prospectus.</w:t>
      </w:r>
    </w:p>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lineRule="auto" w:line="285" w:before="0" w:after="0"/>
        <w:ind w:left="200" w:right="200" w:firstLine="360"/>
        <w:jc w:val="left"/>
        <w:rPr>
          <w:rFonts w:ascii="Times New Roman;Times;serif" w:hAnsi="Times New Roman;Times;serif"/>
          <w:b/>
          <w:sz w:val="20"/>
        </w:rPr>
      </w:pPr>
      <w:r>
        <w:rPr>
          <w:rFonts w:ascii="Times New Roman;Times;serif" w:hAnsi="Times New Roman;Times;serif"/>
          <w:b/>
          <w:sz w:val="20"/>
        </w:rPr>
        <w:t>This prospectus may not be used to consummate sales of securities unless accompanied by a prospectus supplement.</w:t>
      </w:r>
    </w:p>
    <w:p>
      <w:pPr>
        <w:pStyle w:val="TextBody"/>
        <w:bidi w:val="0"/>
        <w:spacing w:lineRule="auto" w:line="328" w:before="0" w:after="160"/>
        <w:ind w:left="200" w:right="200" w:firstLine="360"/>
        <w:jc w:val="center"/>
        <w:rPr/>
      </w:pPr>
      <w:r>
        <w:rPr/>
        <w:t>​</w:t>
      </w:r>
    </w:p>
    <w:p>
      <w:pPr>
        <w:pStyle w:val="TextBody"/>
        <w:bidi w:val="0"/>
        <w:spacing w:lineRule="auto" w:line="285" w:before="0" w:after="0"/>
        <w:ind w:left="200" w:right="200" w:firstLine="360"/>
        <w:jc w:val="center"/>
        <w:rPr>
          <w:rFonts w:ascii="Times New Roman;Times;serif" w:hAnsi="Times New Roman;Times;serif"/>
          <w:sz w:val="20"/>
        </w:rPr>
      </w:pPr>
      <w:r>
        <w:rPr>
          <w:rFonts w:ascii="Times New Roman;Times;serif" w:hAnsi="Times New Roman;Times;serif"/>
          <w:sz w:val="20"/>
        </w:rPr>
        <w:t>The date of this prospectus is March 19, 2025.</w:t>
      </w:r>
    </w:p>
    <w:p>
      <w:pPr>
        <w:pStyle w:val="TextBody"/>
        <w:bidi w:val="0"/>
        <w:spacing w:lineRule="auto" w:line="328" w:before="0" w:after="160"/>
        <w:ind w:left="200" w:right="200" w:firstLine="360"/>
        <w:jc w:val="left"/>
        <w:rPr/>
      </w:pPr>
      <w:r>
        <w:rPr/>
        <w:t>​</w:t>
      </w:r>
    </w:p>
    <w:p>
      <w:pPr>
        <w:pStyle w:val="TextBody"/>
        <w:bidi w:val="0"/>
        <w:spacing w:lineRule="auto" w:line="328" w:before="0" w:after="160"/>
        <w:ind w:left="200" w:right="200" w:firstLine="360"/>
        <w:jc w:val="left"/>
        <w:rPr/>
      </w:pPr>
      <w:r>
        <w:rPr/>
        <w:t>​</w:t>
      </w:r>
    </w:p>
    <w:p>
      <w:pPr>
        <w:pStyle w:val="TextBody"/>
        <w:bidi w:val="0"/>
        <w:spacing w:lineRule="auto" w:line="328" w:before="0" w:after="160"/>
        <w:ind w:left="200" w:right="200" w:hanging="0"/>
        <w:jc w:val="both"/>
        <w:rPr/>
      </w:pPr>
      <w:r>
        <w:rPr/>
        <w:t>​</w:t>
      </w:r>
    </w:p>
    <w:p>
      <w:pPr>
        <w:pStyle w:val="TextBody"/>
        <w:bidi w:val="0"/>
        <w:spacing w:lineRule="auto" w:line="285" w:before="0" w:after="0"/>
        <w:ind w:left="200" w:right="200" w:hanging="0"/>
        <w:jc w:val="left"/>
        <w:rPr/>
      </w:pPr>
      <w:r>
        <w:rPr/>
        <w:t>​</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200" w:right="200" w:hanging="0"/>
        <w:jc w:val="center"/>
        <w:rPr>
          <w:rFonts w:ascii="Times New Roman;Times;serif" w:hAnsi="Times New Roman;Times;serif"/>
          <w:b/>
          <w:sz w:val="20"/>
        </w:rPr>
      </w:pPr>
      <w:bookmarkStart w:id="65" w:name="_80393942_5340_470c_8e05_603aa3d101cb"/>
      <w:bookmarkEnd w:id="65"/>
      <w:r>
        <w:rPr>
          <w:rFonts w:ascii="Times New Roman;Times;serif" w:hAnsi="Times New Roman;Times;serif"/>
          <w:b/>
          <w:sz w:val="20"/>
        </w:rPr>
        <w:t>TABLE OF CONTENTS</w:t>
      </w:r>
    </w:p>
    <w:p>
      <w:pPr>
        <w:pStyle w:val="TextBody"/>
        <w:bidi w:val="0"/>
        <w:spacing w:lineRule="auto" w:line="328" w:before="0" w:after="16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9444"/>
        <w:gridCol w:w="361"/>
      </w:tblGrid>
      <w:tr>
        <w:trPr/>
        <w:tc>
          <w:tcPr>
            <w:tcW w:w="94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9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996940" cy="29210"/>
                      <wp:effectExtent l="0" t="0" r="0" b="0"/>
                      <wp:wrapNone/>
                      <wp:docPr id="10" name="Frame10"/>
                      <a:graphic xmlns:a="http://schemas.openxmlformats.org/drawingml/2006/main">
                        <a:graphicData uri="http://schemas.microsoft.com/office/word/2010/wordprocessingShape">
                          <wps:wsp>
                            <wps:cNvSpPr txBox="1"/>
                            <wps:spPr>
                              <a:xfrm>
                                <a:off x="0" y="0"/>
                                <a:ext cx="5996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9235" cy="175260"/>
                      <wp:effectExtent l="0" t="0" r="0" b="0"/>
                      <wp:wrapNone/>
                      <wp:docPr id="11" name="Frame1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ABOUTTHISPROSPECTUS_557308">
              <w:r>
                <w:rPr>
                  <w:rStyle w:val="InternetLink"/>
                  <w:rFonts w:ascii="Times New Roman;Times;serif" w:hAnsi="Times New Roman;Times;serif"/>
                  <w:b w:val="false"/>
                  <w:i w:val="false"/>
                  <w:caps w:val="false"/>
                  <w:smallCaps w:val="false"/>
                  <w:sz w:val="20"/>
                </w:rPr>
                <w:t>ABOUT THIS PROSPECTUS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444" w:type="dxa"/>
            <w:tcBorders/>
            <w:vAlign w:val="center"/>
          </w:tcPr>
          <w:p>
            <w:pPr>
              <w:pStyle w:val="TableContents"/>
              <w:bidi w:val="0"/>
              <w:spacing w:lineRule="auto" w:line="285" w:before="0" w:after="0"/>
              <w:ind w:left="0" w:right="0" w:hanging="0"/>
              <w:jc w:val="left"/>
              <w:rPr/>
            </w:pPr>
            <w:hyperlink w:anchor="PROSPECTUSSUMMARY_148139">
              <w:r>
                <w:rPr>
                  <w:rStyle w:val="InternetLink"/>
                  <w:rFonts w:ascii="Times New Roman;Times;serif" w:hAnsi="Times New Roman;Times;serif"/>
                  <w:b w:val="false"/>
                  <w:i w:val="false"/>
                  <w:caps w:val="false"/>
                  <w:smallCaps w:val="false"/>
                  <w:sz w:val="20"/>
                </w:rPr>
                <w:t>PROSPECTUS SUMMARY</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FEESANDEXPENSES_40074">
              <w:r>
                <w:rPr>
                  <w:rStyle w:val="InternetLink"/>
                  <w:rFonts w:ascii="Times New Roman;Times;serif" w:hAnsi="Times New Roman;Times;serif"/>
                  <w:b w:val="false"/>
                  <w:i w:val="false"/>
                  <w:caps w:val="false"/>
                  <w:smallCaps w:val="false"/>
                  <w:sz w:val="20"/>
                </w:rPr>
                <w:t>FEES AND EXPENSES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444" w:type="dxa"/>
            <w:tcBorders/>
            <w:vAlign w:val="center"/>
          </w:tcPr>
          <w:p>
            <w:pPr>
              <w:pStyle w:val="TableContents"/>
              <w:bidi w:val="0"/>
              <w:spacing w:lineRule="auto" w:line="285" w:before="0" w:after="0"/>
              <w:ind w:left="0" w:right="0" w:hanging="0"/>
              <w:jc w:val="left"/>
              <w:rPr/>
            </w:pPr>
            <w:hyperlink w:anchor="FINANCIALHIGHLIGHTS_619969">
              <w:r>
                <w:rPr>
                  <w:rStyle w:val="InternetLink"/>
                  <w:rFonts w:ascii="Times New Roman;Times;serif" w:hAnsi="Times New Roman;Times;serif"/>
                  <w:b w:val="false"/>
                  <w:i w:val="false"/>
                  <w:caps w:val="false"/>
                  <w:smallCaps w:val="false"/>
                  <w:sz w:val="20"/>
                </w:rPr>
                <w:t>FINANCIAL HIGHLIGHTS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SELECTEDFINANCIALINFORMATIONANDOTHERDATA">
              <w:r>
                <w:rPr>
                  <w:rStyle w:val="InternetLink"/>
                  <w:rFonts w:ascii="Times New Roman;Times;serif" w:hAnsi="Times New Roman;Times;serif"/>
                  <w:b w:val="false"/>
                  <w:i w:val="false"/>
                  <w:caps w:val="false"/>
                  <w:smallCaps w:val="false"/>
                  <w:sz w:val="20"/>
                </w:rPr>
                <w:t>SELECTED FINANCIAL INFORMATION AND OTHER DATA</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9444" w:type="dxa"/>
            <w:tcBorders/>
            <w:vAlign w:val="center"/>
          </w:tcPr>
          <w:p>
            <w:pPr>
              <w:pStyle w:val="TableContents"/>
              <w:bidi w:val="0"/>
              <w:spacing w:lineRule="auto" w:line="285" w:before="0" w:after="0"/>
              <w:ind w:left="0" w:right="0" w:hanging="0"/>
              <w:jc w:val="left"/>
              <w:rPr/>
            </w:pPr>
            <w:hyperlink w:anchor="RISKFACTORS_658759">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SPECIALNOTEREGARDINGFORWARDLOOKINGSTATEM">
              <w:r>
                <w:rPr>
                  <w:rStyle w:val="InternetLink"/>
                  <w:rFonts w:ascii="Times New Roman;Times;serif" w:hAnsi="Times New Roman;Times;serif"/>
                  <w:b w:val="false"/>
                  <w:i w:val="false"/>
                  <w:caps w:val="false"/>
                  <w:smallCaps w:val="false"/>
                  <w:sz w:val="20"/>
                </w:rPr>
                <w:t>SPECIAL NOTE REGARDING FORWARD-LOOKING STATEMENTS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9444" w:type="dxa"/>
            <w:tcBorders/>
            <w:vAlign w:val="center"/>
          </w:tcPr>
          <w:p>
            <w:pPr>
              <w:pStyle w:val="TableContents"/>
              <w:bidi w:val="0"/>
              <w:spacing w:lineRule="auto" w:line="285" w:before="0" w:after="0"/>
              <w:ind w:left="0" w:right="0" w:hanging="0"/>
              <w:jc w:val="left"/>
              <w:rPr/>
            </w:pPr>
            <w:hyperlink w:anchor="USEOFPROCEEDS_588465">
              <w:r>
                <w:rPr>
                  <w:rStyle w:val="InternetLink"/>
                  <w:rFonts w:ascii="Times New Roman;Times;serif" w:hAnsi="Times New Roman;Times;serif"/>
                  <w:b w:val="false"/>
                  <w:i w:val="false"/>
                  <w:caps w:val="false"/>
                  <w:smallCaps w:val="false"/>
                  <w:sz w:val="20"/>
                </w:rPr>
                <w:t>USE OF PROCEEDS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PRICERANGEOFCOMMONSTOCKANDDISTRIBUTIONS_">
              <w:r>
                <w:rPr>
                  <w:rStyle w:val="InternetLink"/>
                  <w:rFonts w:ascii="Times New Roman;Times;serif" w:hAnsi="Times New Roman;Times;serif"/>
                  <w:b w:val="false"/>
                  <w:i w:val="false"/>
                  <w:caps w:val="false"/>
                  <w:smallCaps w:val="false"/>
                  <w:sz w:val="20"/>
                </w:rPr>
                <w:t>PRICE RANGE OF COMMON STOCK AND DISTRIBUTIONS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444" w:type="dxa"/>
            <w:tcBorders/>
            <w:vAlign w:val="center"/>
          </w:tcPr>
          <w:p>
            <w:pPr>
              <w:pStyle w:val="TableContents"/>
              <w:bidi w:val="0"/>
              <w:spacing w:lineRule="auto" w:line="285" w:before="0" w:after="0"/>
              <w:ind w:left="0" w:right="0" w:hanging="0"/>
              <w:jc w:val="left"/>
              <w:rPr/>
            </w:pPr>
            <w:hyperlink w:anchor="MANAGEMENTSDISCUSSIONANDANALYSISOFFINANC">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BUSINESS_283682">
              <w:r>
                <w:rPr>
                  <w:rStyle w:val="InternetLink"/>
                  <w:rFonts w:ascii="Times New Roman;Times;serif" w:hAnsi="Times New Roman;Times;serif"/>
                  <w:b w:val="false"/>
                  <w:i w:val="false"/>
                  <w:caps w:val="false"/>
                  <w:smallCaps w:val="false"/>
                  <w:sz w:val="20"/>
                </w:rPr>
                <w:t>BUSINESS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444" w:type="dxa"/>
            <w:tcBorders/>
            <w:vAlign w:val="center"/>
          </w:tcPr>
          <w:p>
            <w:pPr>
              <w:pStyle w:val="TableContents"/>
              <w:bidi w:val="0"/>
              <w:spacing w:lineRule="auto" w:line="285" w:before="0" w:after="0"/>
              <w:ind w:left="0" w:right="0" w:hanging="0"/>
              <w:jc w:val="left"/>
              <w:rPr/>
            </w:pPr>
            <w:hyperlink w:anchor="SENIORSECURITIES_884033">
              <w:r>
                <w:rPr>
                  <w:rStyle w:val="InternetLink"/>
                  <w:rFonts w:ascii="Times New Roman;Times;serif" w:hAnsi="Times New Roman;Times;serif"/>
                  <w:b w:val="false"/>
                  <w:i w:val="false"/>
                  <w:caps w:val="false"/>
                  <w:smallCaps w:val="false"/>
                  <w:sz w:val="20"/>
                </w:rPr>
                <w:t>SENIOR SECURITIES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PORTFOLIOCOMPANIES_318382">
              <w:r>
                <w:rPr>
                  <w:rStyle w:val="InternetLink"/>
                  <w:rFonts w:ascii="Times New Roman;Times;serif" w:hAnsi="Times New Roman;Times;serif"/>
                  <w:b w:val="false"/>
                  <w:i w:val="false"/>
                  <w:caps w:val="false"/>
                  <w:smallCaps w:val="false"/>
                  <w:sz w:val="20"/>
                </w:rPr>
                <w:t>PORTFOLIO COMPANIES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444" w:type="dxa"/>
            <w:tcBorders/>
            <w:vAlign w:val="center"/>
          </w:tcPr>
          <w:p>
            <w:pPr>
              <w:pStyle w:val="TableContents"/>
              <w:bidi w:val="0"/>
              <w:spacing w:lineRule="auto" w:line="285" w:before="0" w:after="0"/>
              <w:ind w:left="0" w:right="0" w:hanging="0"/>
              <w:jc w:val="left"/>
              <w:rPr/>
            </w:pPr>
            <w:hyperlink w:anchor="MANAGEMENT_796802">
              <w:r>
                <w:rPr>
                  <w:rStyle w:val="InternetLink"/>
                  <w:rFonts w:ascii="Times New Roman;Times;serif" w:hAnsi="Times New Roman;Times;serif"/>
                  <w:b w:val="false"/>
                  <w:i w:val="false"/>
                  <w:caps w:val="false"/>
                  <w:smallCaps w:val="false"/>
                  <w:sz w:val="20"/>
                </w:rPr>
                <w:t>MANAGEMENT</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MANAGEMENTANDOTHERAGREEMENTS_309250">
              <w:r>
                <w:rPr>
                  <w:rStyle w:val="InternetLink"/>
                  <w:rFonts w:ascii="Times New Roman;Times;serif" w:hAnsi="Times New Roman;Times;serif"/>
                  <w:b w:val="false"/>
                  <w:i w:val="false"/>
                  <w:caps w:val="false"/>
                  <w:smallCaps w:val="false"/>
                  <w:sz w:val="20"/>
                </w:rPr>
                <w:t>MANAGEMENT AND OTHER AGREEMENTS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444" w:type="dxa"/>
            <w:tcBorders/>
            <w:vAlign w:val="center"/>
          </w:tcPr>
          <w:p>
            <w:pPr>
              <w:pStyle w:val="TableContents"/>
              <w:bidi w:val="0"/>
              <w:spacing w:lineRule="auto" w:line="285" w:before="0" w:after="0"/>
              <w:ind w:left="0" w:right="0" w:hanging="0"/>
              <w:jc w:val="left"/>
              <w:rPr/>
            </w:pPr>
            <w:hyperlink w:anchor="RELATEDPARTYTRANSACTIONSANDCERTAINRELATI">
              <w:r>
                <w:rPr>
                  <w:rStyle w:val="InternetLink"/>
                  <w:rFonts w:ascii="Times New Roman;Times;serif" w:hAnsi="Times New Roman;Times;serif"/>
                  <w:b w:val="false"/>
                  <w:i w:val="false"/>
                  <w:caps w:val="false"/>
                  <w:smallCaps w:val="false"/>
                  <w:sz w:val="20"/>
                </w:rPr>
                <w:t>RELATED-PARTY TRANSACTIONS AND CERTAIN RELATIONSHIPS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CONTROLPERSONSANDPRINCIPALSHAREHOLDERS_6">
              <w:r>
                <w:rPr>
                  <w:rStyle w:val="InternetLink"/>
                  <w:rFonts w:ascii="Times New Roman;Times;serif" w:hAnsi="Times New Roman;Times;serif"/>
                  <w:b w:val="false"/>
                  <w:i w:val="false"/>
                  <w:caps w:val="false"/>
                  <w:smallCaps w:val="false"/>
                  <w:sz w:val="20"/>
                </w:rPr>
                <w:t>CONTROL PERSONS AND PRINCIPAL SHAREHOLDERS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444" w:type="dxa"/>
            <w:tcBorders/>
            <w:vAlign w:val="center"/>
          </w:tcPr>
          <w:p>
            <w:pPr>
              <w:pStyle w:val="TableContents"/>
              <w:bidi w:val="0"/>
              <w:spacing w:lineRule="auto" w:line="285" w:before="0" w:after="0"/>
              <w:ind w:left="0" w:right="0" w:hanging="0"/>
              <w:jc w:val="left"/>
              <w:rPr/>
            </w:pPr>
            <w:hyperlink w:anchor="DETERMINATIONOFNETASSETVALUE_837708">
              <w:r>
                <w:rPr>
                  <w:rStyle w:val="InternetLink"/>
                  <w:rFonts w:ascii="Times New Roman;Times;serif" w:hAnsi="Times New Roman;Times;serif"/>
                  <w:b w:val="false"/>
                  <w:i w:val="false"/>
                  <w:caps w:val="false"/>
                  <w:smallCaps w:val="false"/>
                  <w:sz w:val="20"/>
                </w:rPr>
                <w:t>DETERMINATION OF NET ASSET VALUE</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DIVIDENDREINVESTMENTPLAN_250695">
              <w:r>
                <w:rPr>
                  <w:rStyle w:val="InternetLink"/>
                  <w:rFonts w:ascii="Times New Roman;Times;serif" w:hAnsi="Times New Roman;Times;serif"/>
                  <w:b w:val="false"/>
                  <w:i w:val="false"/>
                  <w:caps w:val="false"/>
                  <w:smallCaps w:val="false"/>
                  <w:sz w:val="20"/>
                </w:rPr>
                <w:t>DIVIDEND REINVESTMENT PLAN</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444" w:type="dxa"/>
            <w:tcBorders/>
            <w:vAlign w:val="center"/>
          </w:tcPr>
          <w:p>
            <w:pPr>
              <w:pStyle w:val="TableContents"/>
              <w:bidi w:val="0"/>
              <w:spacing w:lineRule="auto" w:line="285" w:before="0" w:after="0"/>
              <w:ind w:left="0" w:right="0" w:hanging="0"/>
              <w:jc w:val="left"/>
              <w:rPr/>
            </w:pPr>
            <w:hyperlink w:anchor="CERTAINUSFEDERALINCOMETAXCONSIDERATIONS_">
              <w:r>
                <w:rPr>
                  <w:rStyle w:val="InternetLink"/>
                  <w:rFonts w:ascii="Times New Roman;Times;serif" w:hAnsi="Times New Roman;Times;serif"/>
                  <w:b w:val="false"/>
                  <w:i w:val="false"/>
                  <w:caps w:val="false"/>
                  <w:smallCaps w:val="false"/>
                  <w:sz w:val="20"/>
                </w:rPr>
                <w:t>CERTAIN U.S. FEDERAL INCOME TAX CONSIDERATIONS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DESCRIPTIONOFOURSECURITIES_489296">
              <w:r>
                <w:rPr>
                  <w:rStyle w:val="InternetLink"/>
                  <w:rFonts w:ascii="Times New Roman;Times;serif" w:hAnsi="Times New Roman;Times;serif"/>
                  <w:b w:val="false"/>
                  <w:i w:val="false"/>
                  <w:caps w:val="false"/>
                  <w:smallCaps w:val="false"/>
                  <w:sz w:val="20"/>
                </w:rPr>
                <w:t>DESCRIPTION OF OUR SECURITIES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444" w:type="dxa"/>
            <w:tcBorders/>
            <w:vAlign w:val="center"/>
          </w:tcPr>
          <w:p>
            <w:pPr>
              <w:pStyle w:val="TableContents"/>
              <w:bidi w:val="0"/>
              <w:spacing w:lineRule="auto" w:line="285" w:before="0" w:after="0"/>
              <w:ind w:left="0" w:right="0" w:hanging="0"/>
              <w:jc w:val="left"/>
              <w:rPr/>
            </w:pPr>
            <w:hyperlink w:anchor="DESCRIPTIONOFOURCAPITALSTOCK_353374">
              <w:r>
                <w:rPr>
                  <w:rStyle w:val="InternetLink"/>
                  <w:rFonts w:ascii="Times New Roman;Times;serif" w:hAnsi="Times New Roman;Times;serif"/>
                  <w:b w:val="false"/>
                  <w:i w:val="false"/>
                  <w:caps w:val="false"/>
                  <w:smallCaps w:val="false"/>
                  <w:sz w:val="20"/>
                </w:rPr>
                <w:t>DESCRIPTION OF OUR CAPITAL STOCK</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DESCRIPTIONOFOURPREFERREDSTOCK_414964">
              <w:r>
                <w:rPr>
                  <w:rStyle w:val="InternetLink"/>
                  <w:rFonts w:ascii="Times New Roman;Times;serif" w:hAnsi="Times New Roman;Times;serif"/>
                  <w:b w:val="false"/>
                  <w:i w:val="false"/>
                  <w:caps w:val="false"/>
                  <w:smallCaps w:val="false"/>
                  <w:sz w:val="20"/>
                </w:rPr>
                <w:t>DESCRIPTION OF OUR PREFERRED STOCK</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9444" w:type="dxa"/>
            <w:tcBorders/>
            <w:vAlign w:val="center"/>
          </w:tcPr>
          <w:p>
            <w:pPr>
              <w:pStyle w:val="TableContents"/>
              <w:bidi w:val="0"/>
              <w:spacing w:lineRule="auto" w:line="285" w:before="0" w:after="0"/>
              <w:ind w:left="0" w:right="0" w:hanging="0"/>
              <w:jc w:val="left"/>
              <w:rPr/>
            </w:pPr>
            <w:hyperlink w:anchor="DESCRIPTIONOFOURSUBSCRIPTIONRIGHTS_66141">
              <w:r>
                <w:rPr>
                  <w:rStyle w:val="InternetLink"/>
                  <w:rFonts w:ascii="Times New Roman;Times;serif" w:hAnsi="Times New Roman;Times;serif"/>
                  <w:b w:val="false"/>
                  <w:i w:val="false"/>
                  <w:caps w:val="false"/>
                  <w:smallCaps w:val="false"/>
                  <w:sz w:val="20"/>
                </w:rPr>
                <w:t>DESCRIPTION OF OUR SUBSCRIPTION RIGHTS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DESCRIPTIONOFOURWARRANTS_440594">
              <w:r>
                <w:rPr>
                  <w:rStyle w:val="InternetLink"/>
                  <w:rFonts w:ascii="Times New Roman;Times;serif" w:hAnsi="Times New Roman;Times;serif"/>
                  <w:b w:val="false"/>
                  <w:i w:val="false"/>
                  <w:caps w:val="false"/>
                  <w:smallCaps w:val="false"/>
                  <w:sz w:val="20"/>
                </w:rPr>
                <w:t>DESCRIPTION OF OUR WARRANTS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444" w:type="dxa"/>
            <w:tcBorders/>
            <w:vAlign w:val="center"/>
          </w:tcPr>
          <w:p>
            <w:pPr>
              <w:pStyle w:val="TableContents"/>
              <w:bidi w:val="0"/>
              <w:spacing w:lineRule="auto" w:line="285" w:before="0" w:after="0"/>
              <w:ind w:left="0" w:right="0" w:hanging="0"/>
              <w:jc w:val="left"/>
              <w:rPr/>
            </w:pPr>
            <w:hyperlink w:anchor="DESCRIPTIONOFOURDEBTSECURITIES_292288">
              <w:r>
                <w:rPr>
                  <w:rStyle w:val="InternetLink"/>
                  <w:rFonts w:ascii="Times New Roman;Times;serif" w:hAnsi="Times New Roman;Times;serif"/>
                  <w:b w:val="false"/>
                  <w:i w:val="false"/>
                  <w:caps w:val="false"/>
                  <w:smallCaps w:val="false"/>
                  <w:sz w:val="20"/>
                </w:rPr>
                <w:t>DESCRIPTION OF OUR DEBT SECURITIES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REGULATION_247825">
              <w:r>
                <w:rPr>
                  <w:rStyle w:val="InternetLink"/>
                  <w:rFonts w:ascii="Times New Roman;Times;serif" w:hAnsi="Times New Roman;Times;serif"/>
                  <w:b w:val="false"/>
                  <w:i w:val="false"/>
                  <w:caps w:val="false"/>
                  <w:smallCaps w:val="false"/>
                  <w:sz w:val="20"/>
                </w:rPr>
                <w:t>REGULATION</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9444" w:type="dxa"/>
            <w:tcBorders/>
            <w:vAlign w:val="center"/>
          </w:tcPr>
          <w:p>
            <w:pPr>
              <w:pStyle w:val="TableContents"/>
              <w:bidi w:val="0"/>
              <w:spacing w:lineRule="auto" w:line="285" w:before="0" w:after="0"/>
              <w:ind w:left="0" w:right="0" w:hanging="0"/>
              <w:jc w:val="left"/>
              <w:rPr/>
            </w:pPr>
            <w:hyperlink w:anchor="PLANOFDISTRIBUTION_693318">
              <w:r>
                <w:rPr>
                  <w:rStyle w:val="InternetLink"/>
                  <w:rFonts w:ascii="Times New Roman;Times;serif" w:hAnsi="Times New Roman;Times;serif"/>
                  <w:b w:val="false"/>
                  <w:i w:val="false"/>
                  <w:caps w:val="false"/>
                  <w:smallCaps w:val="false"/>
                  <w:sz w:val="20"/>
                </w:rPr>
                <w:t>PLAN OF DISTRIBUTION</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CUSTODIANTRANSFERANDDIVIDENDPAYINGAGENTA">
              <w:r>
                <w:rPr>
                  <w:rStyle w:val="InternetLink"/>
                  <w:rFonts w:ascii="Times New Roman;Times;serif" w:hAnsi="Times New Roman;Times;serif"/>
                  <w:b w:val="false"/>
                  <w:i w:val="false"/>
                  <w:caps w:val="false"/>
                  <w:smallCaps w:val="false"/>
                  <w:sz w:val="20"/>
                </w:rPr>
                <w:t>CUSTODIAN, TRANSFER AND DIVIDEND PAYING AGENT AND REGISTRAR</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444" w:type="dxa"/>
            <w:tcBorders/>
            <w:vAlign w:val="center"/>
          </w:tcPr>
          <w:p>
            <w:pPr>
              <w:pStyle w:val="TableContents"/>
              <w:bidi w:val="0"/>
              <w:spacing w:lineRule="auto" w:line="285" w:before="0" w:after="0"/>
              <w:ind w:left="0" w:right="0" w:hanging="0"/>
              <w:jc w:val="left"/>
              <w:rPr/>
            </w:pPr>
            <w:hyperlink w:anchor="BROKERAGEALLOCATIONANDOTHERPRACTICES_509">
              <w:r>
                <w:rPr>
                  <w:rStyle w:val="InternetLink"/>
                  <w:rFonts w:ascii="Times New Roman;Times;serif" w:hAnsi="Times New Roman;Times;serif"/>
                  <w:b w:val="false"/>
                  <w:i w:val="false"/>
                  <w:caps w:val="false"/>
                  <w:smallCaps w:val="false"/>
                  <w:sz w:val="20"/>
                </w:rPr>
                <w:t>BROKERAGE ALLOCATION AND OTHER PRACTICES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LEGALMATTERS_296006">
              <w:r>
                <w:rPr>
                  <w:rStyle w:val="InternetLink"/>
                  <w:rFonts w:ascii="Times New Roman;Times;serif" w:hAnsi="Times New Roman;Times;serif"/>
                  <w:b w:val="false"/>
                  <w:i w:val="false"/>
                  <w:caps w:val="false"/>
                  <w:smallCaps w:val="false"/>
                  <w:sz w:val="20"/>
                </w:rPr>
                <w:t>LEGAL MATTERS</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444" w:type="dxa"/>
            <w:tcBorders/>
            <w:vAlign w:val="center"/>
          </w:tcPr>
          <w:p>
            <w:pPr>
              <w:pStyle w:val="TableContents"/>
              <w:bidi w:val="0"/>
              <w:spacing w:lineRule="auto" w:line="285" w:before="0" w:after="0"/>
              <w:ind w:left="0" w:right="0" w:hanging="0"/>
              <w:jc w:val="left"/>
              <w:rPr/>
            </w:pPr>
            <w:hyperlink w:anchor="INDEPENDENTREGISTEREDPUBLICACCOUNTINGFIR">
              <w:r>
                <w:rPr>
                  <w:rStyle w:val="InternetLink"/>
                  <w:rFonts w:ascii="Times New Roman;Times;serif" w:hAnsi="Times New Roman;Times;serif"/>
                  <w:b w:val="false"/>
                  <w:i w:val="false"/>
                  <w:caps w:val="false"/>
                  <w:smallCaps w:val="false"/>
                  <w:sz w:val="20"/>
                </w:rPr>
                <w:t>INDEPENDENT REGISTERED PUBLIC ACCOUNTING FIRM</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AVAILABLEINFORMATION_984735">
              <w:r>
                <w:rPr>
                  <w:rStyle w:val="InternetLink"/>
                  <w:rFonts w:ascii="Times New Roman;Times;serif" w:hAnsi="Times New Roman;Times;serif"/>
                  <w:b w:val="false"/>
                  <w:i w:val="false"/>
                  <w:caps w:val="false"/>
                  <w:smallCaps w:val="false"/>
                  <w:sz w:val="20"/>
                </w:rPr>
                <w:t>AVAILABLE INFORMATION</w:t>
              </w:r>
            </w:hyperlink>
          </w:p>
        </w:tc>
        <w:tc>
          <w:tcPr>
            <w:tcW w:w="3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444" w:type="dxa"/>
            <w:tcBorders/>
            <w:vAlign w:val="center"/>
          </w:tcPr>
          <w:p>
            <w:pPr>
              <w:pStyle w:val="TableContents"/>
              <w:bidi w:val="0"/>
              <w:spacing w:lineRule="auto" w:line="285" w:before="0" w:after="0"/>
              <w:ind w:left="0" w:right="0" w:hanging="0"/>
              <w:jc w:val="left"/>
              <w:rPr/>
            </w:pPr>
            <w:hyperlink w:anchor="INCORPORATIONOFCERTAININFORMATIONBYREFER">
              <w:r>
                <w:rPr>
                  <w:rStyle w:val="InternetLink"/>
                  <w:rFonts w:ascii="Times New Roman;Times;serif" w:hAnsi="Times New Roman;Times;serif"/>
                  <w:b w:val="false"/>
                  <w:i w:val="false"/>
                  <w:caps w:val="false"/>
                  <w:smallCaps w:val="false"/>
                  <w:sz w:val="20"/>
                </w:rPr>
                <w:t>INCORPORATION OF CERTAIN INFORMATION BY REFERENCE</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9444" w:type="dxa"/>
            <w:tcBorders/>
            <w:shd w:fill="CCEEFF" w:val="clear"/>
            <w:vAlign w:val="center"/>
          </w:tcPr>
          <w:p>
            <w:pPr>
              <w:pStyle w:val="TableContents"/>
              <w:bidi w:val="0"/>
              <w:spacing w:lineRule="auto" w:line="285" w:before="0" w:after="0"/>
              <w:ind w:left="0" w:right="0" w:hanging="0"/>
              <w:jc w:val="left"/>
              <w:rPr/>
            </w:pPr>
            <w:hyperlink w:anchor="RUNWAYGROWTHFINANCECORP_520561">
              <w:r>
                <w:rPr>
                  <w:rStyle w:val="InternetLink"/>
                  <w:rFonts w:ascii="Times New Roman;Times;serif" w:hAnsi="Times New Roman;Times;serif"/>
                  <w:b w:val="false"/>
                  <w:i w:val="false"/>
                  <w:caps w:val="false"/>
                  <w:smallCaps w:val="false"/>
                  <w:sz w:val="20"/>
                </w:rPr>
                <w:t>RUNWAY GROWTH FINANCE CORP.</w:t>
              </w:r>
            </w:hyperlink>
          </w:p>
        </w:tc>
        <w:tc>
          <w:tcPr>
            <w:tcW w:w="361" w:type="dxa"/>
            <w:tcBorders/>
            <w:shd w:fill="CCEEFF" w:val="clear"/>
            <w:vAlign w:val="center"/>
          </w:tcPr>
          <w:p>
            <w:pPr>
              <w:pStyle w:val="TableContents"/>
              <w:bidi w:val="0"/>
              <w:spacing w:lineRule="auto" w:line="328" w:before="0" w:after="160"/>
              <w:ind w:left="0" w:right="0" w:hanging="0"/>
              <w:jc w:val="right"/>
              <w:rPr/>
            </w:pPr>
            <w:r>
              <w:rPr/>
              <w:t>​</w:t>
            </w:r>
          </w:p>
        </w:tc>
      </w:tr>
    </w:tbl>
    <w:p>
      <w:pPr>
        <w:pStyle w:val="TextBody"/>
        <w:bidi w:val="0"/>
        <w:spacing w:lineRule="auto" w:line="328" w:before="0" w:after="160"/>
        <w:ind w:left="200" w:right="200" w:hanging="0"/>
        <w:jc w:val="left"/>
        <w:rPr/>
      </w:pPr>
      <w:r>
        <w:rPr/>
        <w:t>​</w:t>
      </w:r>
    </w:p>
    <w:p>
      <w:pPr>
        <w:pStyle w:val="TextBody"/>
        <w:bidi w:val="0"/>
        <w:spacing w:lineRule="auto" w:line="328" w:before="0" w:after="160"/>
        <w:ind w:left="200" w:right="200" w:hanging="0"/>
        <w:jc w:val="left"/>
        <w:rPr/>
      </w:pPr>
      <w:r>
        <w:rPr/>
        <w:t>​</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66" w:name="ABOUTTHISPROSPECTUS_557308"/>
      <w:bookmarkStart w:id="67" w:name="_a8986fe4_618b_4b5e_b0a0_53bcd2d3bce8"/>
      <w:bookmarkEnd w:id="66"/>
      <w:bookmarkEnd w:id="67"/>
      <w:r>
        <w:rPr>
          <w:rFonts w:ascii="Times New Roman;Times;serif" w:hAnsi="Times New Roman;Times;serif"/>
          <w:b/>
          <w:sz w:val="20"/>
        </w:rPr>
        <w:t>ABOUT THIS PROSPECTUS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This prospectus is part of a registration statement that we have filed with the SEC, using the “shelf” registration process. Under this shelf Registration Statement, we may offer, from time to time, in one or more offerings, up to $250,000,000 of our common stock, preferred stock, debt securities, subscription rights to purchase shares of our common stock, and/or warrants representing rights to purchase shares of our common stock, preferred stock or debt securities, on terms to be determined at the time of the offering. See “</w:t>
      </w:r>
      <w:r>
        <w:rPr>
          <w:rFonts w:ascii="Times New Roman;Times;serif" w:hAnsi="Times New Roman;Times;serif"/>
          <w:i/>
          <w:sz w:val="20"/>
        </w:rPr>
        <w:t>Plan of Distribution</w:t>
      </w:r>
      <w:r>
        <w:rPr>
          <w:rFonts w:ascii="Aptos" w:hAnsi="Aptos"/>
          <w:sz w:val="20"/>
        </w:rPr>
        <w:t xml:space="preserve">” </w:t>
      </w:r>
      <w:r>
        <w:rPr>
          <w:rFonts w:ascii="Times New Roman;Times;serif" w:hAnsi="Times New Roman;Times;serif"/>
          <w:sz w:val="20"/>
        </w:rPr>
        <w:t>for more information.</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To the extent that any statement that we make in a prospectus supplement is inconsistent with statements made in this prospectus or in documents incorporated by reference in this prospectus, the statements made or incorporated by reference in this prospectus will be deemed modified or superseded by those made in the prospectus supplement. Before buying any of the securities being offered, please carefully read this prospectus, any accompanying prospectus supplement, any free writing prospectus and the documents incorporated by reference in this prospectus and any accompanying prospectus supplement.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However, we acknowledge our responsibility for all disclosures in this prospectus.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this Registration Statement of which this prospectus is a part, and you may obtain copies of those documents as described in the section titled “</w:t>
      </w:r>
      <w:r>
        <w:rPr>
          <w:rFonts w:ascii="Times New Roman;Times;serif" w:hAnsi="Times New Roman;Times;serif"/>
          <w:i/>
          <w:sz w:val="20"/>
        </w:rPr>
        <w:t>Available Information</w:t>
      </w:r>
      <w:r>
        <w:rPr>
          <w:rFonts w:ascii="Times New Roman;Times;serif" w:hAnsi="Times New Roman;Times;serif"/>
          <w:sz w:val="20"/>
        </w:rPr>
        <w: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b/>
          <w:sz w:val="20"/>
        </w:rPr>
        <w:t xml:space="preserve">You should rely only on the information included or incorporated by reference in this prospectus, any prospectus </w:t>
      </w:r>
      <w:r>
        <w:rPr>
          <w:rFonts w:ascii="Times New Roman;Times;serif" w:hAnsi="Times New Roman;Times;serif"/>
          <w:sz w:val="20"/>
        </w:rPr>
        <w:t>supplement</w:t>
      </w:r>
      <w:r>
        <w:rPr>
          <w:rFonts w:ascii="Aptos" w:hAnsi="Aptos"/>
          <w:sz w:val="20"/>
        </w:rPr>
        <w:t xml:space="preserve"> </w:t>
      </w:r>
      <w:r>
        <w:rPr>
          <w:rFonts w:ascii="Times New Roman;Times;serif" w:hAnsi="Times New Roman;Times;serif"/>
          <w:b/>
          <w:sz w:val="20"/>
        </w:rPr>
        <w:t>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pStyle w:val="TextBody"/>
        <w:bidi w:val="0"/>
        <w:spacing w:lineRule="auto" w:line="328" w:before="0" w:after="160"/>
        <w:ind w:left="200" w:right="200" w:hanging="0"/>
        <w:jc w:val="left"/>
        <w:rPr/>
      </w:pPr>
      <w:r>
        <w:rPr/>
        <w:t>​</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68" w:name="PROSPECTUSSUMMARY_148139"/>
      <w:bookmarkStart w:id="69" w:name="_219a2748_98d0_48d9_9c3d_fa02f986bb02"/>
      <w:bookmarkEnd w:id="68"/>
      <w:bookmarkEnd w:id="69"/>
      <w:r>
        <w:rPr>
          <w:rFonts w:ascii="Times New Roman;Times;serif" w:hAnsi="Times New Roman;Times;serif"/>
          <w:b/>
          <w:sz w:val="20"/>
        </w:rPr>
        <w:t>PROSPECTUS SUMMARY</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 xml:space="preserve">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w:t>
      </w:r>
      <w:r>
        <w:rPr>
          <w:rFonts w:ascii="Times New Roman;Times;serif" w:hAnsi="Times New Roman;Times;serif"/>
          <w:sz w:val="20"/>
        </w:rPr>
        <w:t>applicable</w:t>
      </w:r>
      <w:r>
        <w:rPr>
          <w:rFonts w:ascii="Aptos" w:hAnsi="Aptos"/>
          <w:sz w:val="20"/>
        </w:rPr>
        <w:t xml:space="preserve"> </w:t>
      </w:r>
      <w:r>
        <w:rPr>
          <w:rFonts w:ascii="Times New Roman;Times;serif" w:hAnsi="Times New Roman;Times;serif"/>
          <w:i/>
          <w:sz w:val="20"/>
        </w:rPr>
        <w:t>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 Throughout this prospectus we refer to Runway Growth Finance Corp. as “we,” “us,” “our” or the “Company,” and to “Runway Growth Capital LLC,” our investment adviser, as “Runway Growth Capital” or “Adviser.”</w:t>
      </w:r>
    </w:p>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Runway Growth Finance Corp.</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are a specialty finance company focused on providing senior secured loans to high-growth potential companies in technology, healthcare, business services, financial services, and select consumer services and products in other high-growth industries. Our goal is to create significant value for our stockholders and the entrepreneurs we support by providing high-growth potential companies with hybrid debt and equity financing that is more flexible than traditional credit and less dilutive than equity. We are managed by Runway Growth Capital, an experienced provider of growth financing for dynamic, late and growth stage companies. Our investment objective is to maximize our total return to our stockholders primarily through current income on our loan portfolio and secondarily through capital gains on our warrants and other equity positions. As of September 30, 2024, we had an investment portfolio of $1.1 billion at fair value, and a net asset value of $13.39 per share.</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We are structured as an externally managed, non-diversified closed-end investment company that has elected to be regulated as a business development company (“BDC”) under the Investment Company Act of 1940, as amended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RIC. See “</w:t>
      </w:r>
      <w:r>
        <w:rPr>
          <w:rFonts w:ascii="Times New Roman;Times;serif" w:hAnsi="Times New Roman;Times;serif"/>
          <w:i/>
          <w:sz w:val="20"/>
        </w:rPr>
        <w:t>Certain U.S. Federal Income Tax Considerations</w:t>
      </w:r>
      <w:r>
        <w:rPr>
          <w:rFonts w:ascii="Times New Roman;Times;serif" w:hAnsi="Times New Roman;Times;serif"/>
          <w:sz w:val="20"/>
        </w:rPr>
        <w:t>.”</w:t>
      </w:r>
    </w:p>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Our Adviser</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are externally managed by Runway Growth Capital. Runway Growth Capital was formed in 2015 to pursue an investment strategy focused on providing growth financing for dynamic, late and growth stage companies. David Spreng, our Chairman, Chief Executive Officer and President, formed our Adviser following a more than 25-year career in venture capital investing and lending. Runway Growth Capital has 29 employees across three offices in the United States, including five investment professionals focused on origination activities and ten focused on underwriting and managing our investment portfolio. Our Adviser consistently demonstrates a credit first culture while maintaining, what we believe, is an admirable reputation among borrowers for industry knowledge, creativity, and understanding of the challenges often faced by late and growth stage companies.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In January 2025, Runway Growth Capital was acquired by certain private investment funds advised by BC Partners Credit and MLCI pursuant to its minority investment.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Runway Growth Capital’s senior executive team has on average more than 34 years of experience, and its investment professionals, including origination and underwriting, have on average 23 years of experience. Our Adviser has built its team with investment professionals who have deep industry experience, a track record of successful originations and outcomes across the venture debt and venture and private equity spectrums, along with rich experience in working with and understanding high-growth companies from both an investor’s and an operator’s perspective.</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Runway Growth Capital is registered as an investment adviser with the U.S. Securities and Exchange Commission (the “SEC”) under the Investment Advisers Act of 1940, as amended (together with the rules and regulations promulgated thereunder, the “Advisers Act”). Subject to the overall supervision of our board of directors (the “Board”), our Adviser manages our day-to-day operations and provides us with investment advisory services pursuant to the third amended and restated investment advisory agreement, dated January 30, 2025 (the “Advisory Agreement”). Pursuant to the Advisory Agreement, we pay Runway Growth Capital a fee for its investment advisory and management services consisting of two components: a base management fee and an incentive fee. The cost of the base management fee and incentive fee are each borne by our stockholders. See “</w:t>
      </w:r>
      <w:r>
        <w:rPr>
          <w:rFonts w:ascii="Times New Roman;Times;serif" w:hAnsi="Times New Roman;Times;serif"/>
          <w:i/>
          <w:sz w:val="20"/>
        </w:rPr>
        <w:t>Management and Other Agreements</w:t>
      </w:r>
      <w:r>
        <w:rPr>
          <w:rFonts w:ascii="Times New Roman;Times;serif" w:hAnsi="Times New Roman;Times;serif"/>
          <w:sz w:val="20"/>
        </w:rPr>
        <w:t>.”</w:t>
      </w:r>
    </w:p>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Runway-Cadma I LLC Joint Venture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Effective March 6, 2024, the Company entered into a joint venture agreement with Cadma Capital Partners LLC (“Cadma”) to create and co-manage Runway-Cadma I LLC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in respect of the JV must be approved by the board of managers of the JV, consisting of an equal number of representatives of the Company and Cadma. Capital contributions are called from the Company and Cadma on a pro-rata basis based on their total capital commitments.</w:t>
      </w:r>
    </w:p>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Our Administrator</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We have entered into an amended and restated administration agreement (the “Administration Agreement”) with Runway Administrator Services LLC (the “Administrator”), a wholly-owned subsidiary of Runway Growth Capital,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our Administrator’s overhead resulting from its obligations under the Administration Agreement, including rent and the allocable portion of the cost of our Chief Compliance Officer and Chief Financial Officer and their respective staffs. For more information, see “</w:t>
      </w:r>
      <w:r>
        <w:rPr>
          <w:rFonts w:ascii="Times New Roman;Times;serif" w:hAnsi="Times New Roman;Times;serif"/>
          <w:i/>
          <w:sz w:val="20"/>
        </w:rPr>
        <w:t>Management and Other Agreements</w:t>
      </w:r>
      <w:r>
        <w:rPr>
          <w:rFonts w:ascii="Times New Roman;Times;serif" w:hAnsi="Times New Roman;Times;serif"/>
          <w:sz w:val="20"/>
        </w:rPr>
        <w:t>.”</w:t>
      </w:r>
    </w:p>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Oaktree Strategic Relationship</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In December 2016, we and Runway Growth Capital entered into a strategic relationship with Oaktree Capital Management, L.P. (“Oaktree”). Oaktree is a leading global investment management firm focused on less efficient markets and alternative investments. Oaktree, together with its affiliates, emphasizes an opportunistic, value-oriented and risk-controlled approach to investments in distressed debt, corporate debt (including high-yield debt and senior loans), control investing, real estate, convertible securities and listed equities. In 2019, Brookfield Corporation (f/k/a Brookfield Asset Management Inc.) (“Brookfield”) acquired a majority economic interest in the business of Oaktree and its affiliates. Oaktree and its affiliates operate as an independent business with Brookfield, with their own product offerings and investment, marketing and support teams. Brookfield is a leading global alternative asset manager with over a 100 year history and over $1 trillion of assets under management (inclusive of Oaktree and its affiliates) across a broad portfolio of real estate, infrastructure, renewable power, credit and private equity assets.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OCM Growth Holdings (“OCM Growth”), an affiliate of Oaktree, purchased an aggregate of 14,571,334 shares of the Company’s common stock for an aggregate purchase price of $219.3 million in the Company’s Initial Private Offering and Second Private Offering. As of December 31, 2024, OCM Growth owned 10,779,668 shares, or approximately 29% of the Company’s outstanding shares. Pursuant to an irrevocable proxy, certain shares of our common stock held by OCM Growth must be voted in the same proportion that the Company’s other stockholders vote their shares. Of the 10,779,668 shares of the Company’s common stock owned by OCM Growth, 10,294,926 shares, or approximately 28% of the Company’s outstanding shares, are subject to this proxy voting arrangement.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Catherine Frey, serves on the Board of Directors as OCM Growth’s director nominee as an independent director. Further, to the extent OCM Growth’s share ownership falls below one-third of its initial $125 million capital commitment under any circumstances, OCM Growth will no longer have the right to appoint a director nominee and will use reasonable efforts to cause such nominee to resign immediately (subject to his or her existing fiduciary duties).</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Our Portfolio</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From the commencement of operations in December 2016 through September 30, 2024, we made total commitments of $2.8 billion to fund investments in 82 portfolio companies, invested $2.2 billion in debt and equity investments, excluding U.S. Treasury Bills, and realized 47 investments. Of the $2.8 billion total commitments since inception, 31% are related to upsizes from existing borrowers. As of September 30, 2024, our debt investment portfolio consisted of 49 debt investments in 32 portfolio companies with an aggregate fair value of $1.0 billion, while our equity portfolio consisted of 66 warrant positions in 46 portfolio companies, eleven preferred stock positions in four portfolio companies, six common stock positions in six portfolio companies, and three equity investments in three companies with an aggregate fair value of $62.2 million.</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As of September 30, 2024, 100%, or $1.0 billion, of our debt investment portfolio at fair value consisted of senior term loans and 98.6% of our debt investments were secured by a first lien on all or a portion of the tangible and intangible assets of the applicable portfolio company. The debt investments in our portfolio are generally not rated by any rating agency. If the individual debt investments in our portfolio were rated, they would generally be rated below “investment grade.” Securities rated below investment grade are often referred to as “high yield” securities and “junk bonds,” and are considered “high risk” and speculative in nature compared to debt instruments that are rated investment grade.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Certain of the loans we make to portfolio companies have financial maintenance covenants, which are intended to protect lenders from adverse changes in a portfolio company’s financial performance. 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have made and may in the future make or obtain significant exposure to “covenant-lite” loans, which generally are loans that do not require a borrower to comply with financial maintenance covenants. Generally, covenant-lite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covenant-lite loans, we may have less protection from borrower actions and may have a greater risk of loss on such investments as compared to investments in or exposure to loans with financial maintenance covenants.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As of September 30, 2024, we had a total of $260.4 million in unfunded commitments which was comprised of $231.0 million to provide debt financing to our portfolio companies and $29.4 million in unfunded commitments to provide equity financing to the JV. As of September 30, 2024, we had approximately $67.3 million of available unfunded commitments to portfolio companies that are eligible to be drawn based on achieved milestones and $29.4 million in unfunded capital commitments to the JV. We believe that our available cash balances, availability under our Credit Agreement with KeyBank National Association (as amended, the “Credit Agreement”) provides sufficient funds to cover our unfunded commitments as of September 30, 2024.</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For the three and nine months ended September 30, 2024, our debt investment portfolio had a dollar-weighted annualized yield of 15.9% and 15.5%, respectively. For the three and nine months ended September 30, 2023, our debt investment portfolio had a dollar-weighted annualized yield of 18.3% and 16.0%,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September 30, 2024, our debt investments had a dollar-weighted average term of 58 months at origination and a dollar-weighted average remaining term of 33 months, or approximately 2.8 years. As of September 30, 2024, substantially all of our debt investments had a committed principal amount of between $6.0 million and $85.0 million and pay cash interest at annual interest rates of between 8.0% and 14.8%.</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shows our dollar-weighted annualized yield by investment type for the three and nine months ended September 30, 2024 and September 30, 2023:</w:t>
      </w:r>
    </w:p>
    <w:tbl>
      <w:tblPr>
        <w:tblW w:w="9493" w:type="dxa"/>
        <w:jc w:val="left"/>
        <w:tblInd w:w="200" w:type="dxa"/>
        <w:tblLayout w:type="fixed"/>
        <w:tblCellMar>
          <w:top w:w="0" w:type="dxa"/>
          <w:left w:w="0" w:type="dxa"/>
          <w:bottom w:w="0" w:type="dxa"/>
          <w:right w:w="0" w:type="dxa"/>
        </w:tblCellMar>
      </w:tblPr>
      <w:tblGrid>
        <w:gridCol w:w="1531"/>
        <w:gridCol w:w="346"/>
        <w:gridCol w:w="610"/>
        <w:gridCol w:w="385"/>
        <w:gridCol w:w="610"/>
        <w:gridCol w:w="361"/>
        <w:gridCol w:w="571"/>
        <w:gridCol w:w="361"/>
        <w:gridCol w:w="571"/>
        <w:gridCol w:w="361"/>
        <w:gridCol w:w="610"/>
        <w:gridCol w:w="385"/>
        <w:gridCol w:w="611"/>
        <w:gridCol w:w="361"/>
        <w:gridCol w:w="571"/>
        <w:gridCol w:w="361"/>
        <w:gridCol w:w="571"/>
        <w:gridCol w:w="316"/>
      </w:tblGrid>
      <w:tr>
        <w:trPr/>
        <w:tc>
          <w:tcPr>
            <w:tcW w:w="15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72185" cy="29210"/>
                      <wp:effectExtent l="0" t="0" r="0" b="0"/>
                      <wp:wrapNone/>
                      <wp:docPr id="12" name="Frame12"/>
                      <a:graphic xmlns:a="http://schemas.openxmlformats.org/drawingml/2006/main">
                        <a:graphicData uri="http://schemas.microsoft.com/office/word/2010/wordprocessingShape">
                          <wps:wsp>
                            <wps:cNvSpPr txBox="1"/>
                            <wps:spPr>
                              <a:xfrm>
                                <a:off x="0" y="0"/>
                                <a:ext cx="972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29210"/>
                      <wp:effectExtent l="0" t="0" r="0" b="0"/>
                      <wp:wrapNone/>
                      <wp:docPr id="13" name="Frame1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87350" cy="29210"/>
                      <wp:effectExtent l="0" t="0" r="0" b="0"/>
                      <wp:wrapNone/>
                      <wp:docPr id="14" name="Frame14"/>
                      <a:graphic xmlns:a="http://schemas.openxmlformats.org/drawingml/2006/main">
                        <a:graphicData uri="http://schemas.microsoft.com/office/word/2010/wordprocessingShape">
                          <wps:wsp>
                            <wps:cNvSpPr txBox="1"/>
                            <wps:spPr>
                              <a:xfrm>
                                <a:off x="0" y="0"/>
                                <a:ext cx="3873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44475" cy="29210"/>
                      <wp:effectExtent l="0" t="0" r="0" b="0"/>
                      <wp:wrapNone/>
                      <wp:docPr id="15" name="Frame15"/>
                      <a:graphic xmlns:a="http://schemas.openxmlformats.org/drawingml/2006/main">
                        <a:graphicData uri="http://schemas.microsoft.com/office/word/2010/wordprocessingShape">
                          <wps:wsp>
                            <wps:cNvSpPr txBox="1"/>
                            <wps:spPr>
                              <a:xfrm>
                                <a:off x="0" y="0"/>
                                <a:ext cx="2444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87350" cy="29210"/>
                      <wp:effectExtent l="0" t="0" r="0" b="0"/>
                      <wp:wrapNone/>
                      <wp:docPr id="16" name="Frame16"/>
                      <a:graphic xmlns:a="http://schemas.openxmlformats.org/drawingml/2006/main">
                        <a:graphicData uri="http://schemas.microsoft.com/office/word/2010/wordprocessingShape">
                          <wps:wsp>
                            <wps:cNvSpPr txBox="1"/>
                            <wps:spPr>
                              <a:xfrm>
                                <a:off x="0" y="0"/>
                                <a:ext cx="3873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9235" cy="29210"/>
                      <wp:effectExtent l="0" t="0" r="0" b="0"/>
                      <wp:wrapNone/>
                      <wp:docPr id="17" name="Frame17"/>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62585" cy="29210"/>
                      <wp:effectExtent l="0" t="0" r="0" b="0"/>
                      <wp:wrapNone/>
                      <wp:docPr id="18" name="Frame18"/>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29235" cy="29210"/>
                      <wp:effectExtent l="0" t="0" r="0" b="0"/>
                      <wp:wrapNone/>
                      <wp:docPr id="19" name="Frame19"/>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62585" cy="29210"/>
                      <wp:effectExtent l="0" t="0" r="0" b="0"/>
                      <wp:wrapNone/>
                      <wp:docPr id="20" name="Frame20"/>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9235" cy="29210"/>
                      <wp:effectExtent l="0" t="0" r="0" b="0"/>
                      <wp:wrapNone/>
                      <wp:docPr id="21" name="Frame21"/>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87350" cy="29210"/>
                      <wp:effectExtent l="0" t="0" r="0" b="0"/>
                      <wp:wrapNone/>
                      <wp:docPr id="22" name="Frame22"/>
                      <a:graphic xmlns:a="http://schemas.openxmlformats.org/drawingml/2006/main">
                        <a:graphicData uri="http://schemas.microsoft.com/office/word/2010/wordprocessingShape">
                          <wps:wsp>
                            <wps:cNvSpPr txBox="1"/>
                            <wps:spPr>
                              <a:xfrm>
                                <a:off x="0" y="0"/>
                                <a:ext cx="3873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44475" cy="29210"/>
                      <wp:effectExtent l="0" t="0" r="0" b="0"/>
                      <wp:wrapNone/>
                      <wp:docPr id="23" name="Frame23"/>
                      <a:graphic xmlns:a="http://schemas.openxmlformats.org/drawingml/2006/main">
                        <a:graphicData uri="http://schemas.microsoft.com/office/word/2010/wordprocessingShape">
                          <wps:wsp>
                            <wps:cNvSpPr txBox="1"/>
                            <wps:spPr>
                              <a:xfrm>
                                <a:off x="0" y="0"/>
                                <a:ext cx="2444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87985" cy="29210"/>
                      <wp:effectExtent l="0" t="0" r="0" b="0"/>
                      <wp:wrapNone/>
                      <wp:docPr id="24" name="Frame24"/>
                      <a:graphic xmlns:a="http://schemas.openxmlformats.org/drawingml/2006/main">
                        <a:graphicData uri="http://schemas.microsoft.com/office/word/2010/wordprocessingShape">
                          <wps:wsp>
                            <wps:cNvSpPr txBox="1"/>
                            <wps:spPr>
                              <a:xfrm>
                                <a:off x="0" y="0"/>
                                <a:ext cx="387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29235" cy="29210"/>
                      <wp:effectExtent l="0" t="0" r="0" b="0"/>
                      <wp:wrapNone/>
                      <wp:docPr id="25" name="Frame25"/>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62585" cy="29210"/>
                      <wp:effectExtent l="0" t="0" r="0" b="0"/>
                      <wp:wrapNone/>
                      <wp:docPr id="26" name="Frame26"/>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29235" cy="29210"/>
                      <wp:effectExtent l="0" t="0" r="0" b="0"/>
                      <wp:wrapNone/>
                      <wp:docPr id="27" name="Frame27"/>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62585" cy="29210"/>
                      <wp:effectExtent l="0" t="0" r="0" b="0"/>
                      <wp:wrapNone/>
                      <wp:docPr id="28" name="Frame28"/>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0660" cy="175260"/>
                      <wp:effectExtent l="0" t="0" r="0" b="0"/>
                      <wp:wrapNone/>
                      <wp:docPr id="29" name="Frame2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3469" w:type="dxa"/>
            <w:gridSpan w:val="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Fair Value</w:t>
            </w:r>
            <w:r>
              <w:rPr>
                <w:rFonts w:ascii="Times New Roman;Times;serif" w:hAnsi="Times New Roman;Times;serif"/>
                <w:b/>
                <w:sz w:val="12"/>
              </w:rPr>
              <w:t>(1)</w:t>
            </w:r>
          </w:p>
        </w:tc>
        <w:tc>
          <w:tcPr>
            <w:tcW w:w="361"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3470" w:type="dxa"/>
            <w:gridSpan w:val="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Cost</w:t>
            </w:r>
            <w:r>
              <w:rPr>
                <w:rFonts w:ascii="Times New Roman;Times;serif" w:hAnsi="Times New Roman;Times;serif"/>
                <w:b/>
                <w:sz w:val="12"/>
              </w:rPr>
              <w:t>(2)</w:t>
            </w:r>
          </w:p>
        </w:tc>
        <w:tc>
          <w:tcPr>
            <w:tcW w:w="3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r>
      <w:tr>
        <w:trPr/>
        <w:tc>
          <w:tcPr>
            <w:tcW w:w="153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spacing w:val="-4"/>
              </w:rPr>
            </w:pPr>
            <w:r>
              <w:rPr>
                <w:spacing w:val="-4"/>
              </w:rPr>
              <w:t>​</w:t>
            </w:r>
          </w:p>
        </w:tc>
        <w:tc>
          <w:tcPr>
            <w:tcW w:w="1605" w:type="dxa"/>
            <w:gridSpan w:val="3"/>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top w:val="single" w:sz="2" w:space="0" w:color="000000"/>
            </w:tcBorders>
            <w:tcMar>
              <w:top w:w="28" w:type="dxa"/>
            </w:tcMar>
            <w:vAlign w:val="center"/>
          </w:tcPr>
          <w:p>
            <w:pPr>
              <w:pStyle w:val="TableContents"/>
              <w:bidi w:val="0"/>
              <w:spacing w:lineRule="auto" w:line="328" w:before="0" w:after="160"/>
              <w:ind w:left="0" w:right="0" w:hanging="0"/>
              <w:jc w:val="left"/>
              <w:rPr>
                <w:spacing w:val="-4"/>
              </w:rPr>
            </w:pPr>
            <w:r>
              <w:rPr>
                <w:spacing w:val="-4"/>
              </w:rPr>
              <w:t>​</w:t>
            </w:r>
          </w:p>
        </w:tc>
        <w:tc>
          <w:tcPr>
            <w:tcW w:w="1503" w:type="dxa"/>
            <w:gridSpan w:val="3"/>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Nine Months Ended</w:t>
            </w:r>
          </w:p>
        </w:tc>
        <w:tc>
          <w:tcPr>
            <w:tcW w:w="361" w:type="dxa"/>
            <w:tcBorders/>
            <w:vAlign w:val="center"/>
          </w:tcPr>
          <w:p>
            <w:pPr>
              <w:pStyle w:val="TableContents"/>
              <w:bidi w:val="0"/>
              <w:spacing w:lineRule="auto" w:line="328" w:before="0" w:after="160"/>
              <w:ind w:left="0" w:right="0" w:hanging="0"/>
              <w:jc w:val="left"/>
              <w:rPr>
                <w:spacing w:val="-4"/>
              </w:rPr>
            </w:pPr>
            <w:r>
              <w:rPr>
                <w:spacing w:val="-4"/>
              </w:rPr>
              <w:t>​</w:t>
            </w:r>
          </w:p>
        </w:tc>
        <w:tc>
          <w:tcPr>
            <w:tcW w:w="1606" w:type="dxa"/>
            <w:gridSpan w:val="3"/>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top w:val="single" w:sz="2" w:space="0" w:color="000000"/>
            </w:tcBorders>
            <w:tcMar>
              <w:top w:w="28" w:type="dxa"/>
            </w:tcMar>
            <w:vAlign w:val="center"/>
          </w:tcPr>
          <w:p>
            <w:pPr>
              <w:pStyle w:val="TableContents"/>
              <w:bidi w:val="0"/>
              <w:spacing w:lineRule="auto" w:line="328" w:before="0" w:after="160"/>
              <w:ind w:left="0" w:right="0" w:hanging="0"/>
              <w:jc w:val="left"/>
              <w:rPr>
                <w:spacing w:val="-4"/>
              </w:rPr>
            </w:pPr>
            <w:r>
              <w:rPr>
                <w:spacing w:val="-4"/>
              </w:rPr>
              <w:t>​</w:t>
            </w:r>
          </w:p>
        </w:tc>
        <w:tc>
          <w:tcPr>
            <w:tcW w:w="1503" w:type="dxa"/>
            <w:gridSpan w:val="3"/>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Nine Months Ended</w:t>
            </w:r>
          </w:p>
        </w:tc>
        <w:tc>
          <w:tcPr>
            <w:tcW w:w="316" w:type="dxa"/>
            <w:tcBorders/>
            <w:vAlign w:val="center"/>
          </w:tcPr>
          <w:p>
            <w:pPr>
              <w:pStyle w:val="TableContents"/>
              <w:bidi w:val="0"/>
              <w:spacing w:lineRule="auto" w:line="328" w:before="0" w:after="160"/>
              <w:ind w:left="0" w:right="0" w:hanging="0"/>
              <w:jc w:val="left"/>
              <w:rPr>
                <w:spacing w:val="-4"/>
              </w:rPr>
            </w:pPr>
            <w:r>
              <w:rPr>
                <w:spacing w:val="-4"/>
              </w:rPr>
              <w:t>​</w:t>
            </w:r>
          </w:p>
        </w:tc>
      </w:tr>
      <w:tr>
        <w:trPr/>
        <w:tc>
          <w:tcPr>
            <w:tcW w:w="153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spacing w:val="-4"/>
              </w:rPr>
            </w:pPr>
            <w:r>
              <w:rPr>
                <w:spacing w:val="-4"/>
              </w:rPr>
              <w:t>​</w:t>
            </w:r>
          </w:p>
        </w:tc>
        <w:tc>
          <w:tcPr>
            <w:tcW w:w="1605"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61"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spacing w:val="-4"/>
              </w:rPr>
            </w:pPr>
            <w:r>
              <w:rPr>
                <w:spacing w:val="-4"/>
              </w:rPr>
              <w:t>​</w:t>
            </w:r>
          </w:p>
        </w:tc>
        <w:tc>
          <w:tcPr>
            <w:tcW w:w="1503"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September 30,</w:t>
            </w:r>
          </w:p>
        </w:tc>
        <w:tc>
          <w:tcPr>
            <w:tcW w:w="361"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spacing w:val="-4"/>
              </w:rPr>
            </w:pPr>
            <w:r>
              <w:rPr>
                <w:spacing w:val="-4"/>
              </w:rPr>
              <w:t>​</w:t>
            </w:r>
          </w:p>
        </w:tc>
        <w:tc>
          <w:tcPr>
            <w:tcW w:w="1606"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61"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spacing w:val="-4"/>
              </w:rPr>
            </w:pPr>
            <w:r>
              <w:rPr>
                <w:spacing w:val="-4"/>
              </w:rPr>
              <w:t>​</w:t>
            </w:r>
          </w:p>
        </w:tc>
        <w:tc>
          <w:tcPr>
            <w:tcW w:w="1503"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September 30,</w:t>
            </w:r>
          </w:p>
        </w:tc>
        <w:tc>
          <w:tcPr>
            <w:tcW w:w="31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spacing w:val="-4"/>
              </w:rPr>
            </w:pPr>
            <w:r>
              <w:rPr>
                <w:spacing w:val="-4"/>
              </w:rPr>
              <w:t>​</w:t>
            </w:r>
          </w:p>
        </w:tc>
      </w:tr>
      <w:tr>
        <w:trPr/>
        <w:tc>
          <w:tcPr>
            <w:tcW w:w="1531"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Aptos" w:hAnsi="Aptos"/>
                <w:sz w:val="16"/>
              </w:rPr>
            </w:pPr>
            <w:r>
              <w:rPr>
                <w:rFonts w:ascii="Times New Roman;Times;serif" w:hAnsi="Times New Roman;Times;serif"/>
                <w:b/>
                <w:sz w:val="16"/>
              </w:rPr>
              <w:t>Investment</w:t>
            </w:r>
            <w:r>
              <w:rPr>
                <w:rFonts w:ascii="Aptos" w:hAnsi="Aptos"/>
                <w:spacing w:val="-4"/>
                <w:sz w:val="16"/>
              </w:rPr>
              <w:t xml:space="preserve"> </w:t>
            </w:r>
            <w:r>
              <w:rPr>
                <w:rFonts w:ascii="Times New Roman;Times;serif" w:hAnsi="Times New Roman;Times;serif"/>
                <w:b/>
                <w:spacing w:val="-4"/>
                <w:sz w:val="16"/>
              </w:rPr>
              <w:t>type: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6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2024</w:t>
            </w:r>
          </w:p>
        </w:tc>
        <w:tc>
          <w:tcPr>
            <w:tcW w:w="38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 ​ ​</w:t>
            </w:r>
          </w:p>
        </w:tc>
        <w:tc>
          <w:tcPr>
            <w:tcW w:w="6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2023</w:t>
            </w:r>
          </w:p>
        </w:tc>
        <w:tc>
          <w:tcPr>
            <w:tcW w:w="3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2024</w:t>
            </w:r>
          </w:p>
        </w:tc>
        <w:tc>
          <w:tcPr>
            <w:tcW w:w="36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2023</w:t>
            </w:r>
          </w:p>
        </w:tc>
        <w:tc>
          <w:tcPr>
            <w:tcW w:w="3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6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2024</w:t>
            </w:r>
          </w:p>
        </w:tc>
        <w:tc>
          <w:tcPr>
            <w:tcW w:w="38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 ​ ​</w:t>
            </w:r>
          </w:p>
        </w:tc>
        <w:tc>
          <w:tcPr>
            <w:tcW w:w="6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2023</w:t>
            </w:r>
          </w:p>
        </w:tc>
        <w:tc>
          <w:tcPr>
            <w:tcW w:w="3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2024</w:t>
            </w:r>
          </w:p>
        </w:tc>
        <w:tc>
          <w:tcPr>
            <w:tcW w:w="36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4"/>
                <w:sz w:val="16"/>
              </w:rPr>
            </w:pPr>
            <w:r>
              <w:rPr>
                <w:rFonts w:ascii="Times New Roman;Times;serif" w:hAnsi="Times New Roman;Times;serif"/>
                <w:b/>
                <w:spacing w:val="-4"/>
                <w:sz w:val="16"/>
              </w:rPr>
              <w:t>2023</w:t>
            </w:r>
          </w:p>
        </w:tc>
        <w:tc>
          <w:tcPr>
            <w:tcW w:w="31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spacing w:val="-4"/>
              </w:rPr>
            </w:pPr>
            <w:r>
              <w:rPr>
                <w:spacing w:val="-4"/>
              </w:rPr>
              <w:t>​</w:t>
            </w:r>
          </w:p>
        </w:tc>
      </w:tr>
      <w:tr>
        <w:trPr/>
        <w:tc>
          <w:tcPr>
            <w:tcW w:w="1531" w:type="dxa"/>
            <w:tcBorders>
              <w:top w:val="single" w:sz="2" w:space="0" w:color="000000"/>
            </w:tcBorders>
            <w:shd w:fill="CCEEFF" w:val="clear"/>
            <w:tcMar>
              <w:top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investments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1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3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18.27</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57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15.51</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57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16.04</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61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17.99</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57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15.21</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57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15.79</w:t>
            </w:r>
          </w:p>
        </w:tc>
        <w:tc>
          <w:tcPr>
            <w:tcW w:w="3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w:t>
            </w:r>
          </w:p>
        </w:tc>
      </w:tr>
      <w:tr>
        <w:trPr/>
        <w:tc>
          <w:tcPr>
            <w:tcW w:w="153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Equity interest</w:t>
            </w:r>
          </w:p>
        </w:tc>
        <w:tc>
          <w:tcPr>
            <w:tcW w:w="346" w:type="dxa"/>
            <w:tcBorders/>
            <w:vAlign w:val="center"/>
          </w:tcPr>
          <w:p>
            <w:pPr>
              <w:pStyle w:val="TableContents"/>
              <w:bidi w:val="0"/>
              <w:spacing w:lineRule="auto" w:line="328" w:before="0" w:after="160"/>
              <w:ind w:left="0" w:right="0" w:hanging="0"/>
              <w:jc w:val="left"/>
              <w:rPr/>
            </w:pPr>
            <w:r>
              <w:rPr/>
              <w:t>​</w:t>
            </w:r>
          </w:p>
        </w:tc>
        <w:tc>
          <w:tcPr>
            <w:tcW w:w="610" w:type="dxa"/>
            <w:tcBorders/>
            <w:vAlign w:val="center"/>
          </w:tcPr>
          <w:p>
            <w:pPr>
              <w:pStyle w:val="TableContents"/>
              <w:bidi w:val="0"/>
              <w:spacing w:lineRule="auto" w:line="285" w:before="0" w:after="0"/>
              <w:ind w:left="0" w:right="0" w:hanging="0"/>
              <w:jc w:val="right"/>
              <w:rPr/>
            </w:pPr>
            <w:r>
              <w:rPr/>
              <w:t>—</w:t>
            </w:r>
          </w:p>
        </w:tc>
        <w:tc>
          <w:tcPr>
            <w:tcW w:w="385"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20"/>
              </w:rPr>
            </w:pPr>
            <w:r>
              <w:rPr>
                <w:rFonts w:ascii="Times New Roman;Times;serif" w:hAnsi="Times New Roman;Times;serif"/>
                <w:spacing w:val="-10"/>
                <w:sz w:val="20"/>
              </w:rPr>
              <w:t>%  </w:t>
            </w:r>
          </w:p>
        </w:tc>
        <w:tc>
          <w:tcPr>
            <w:tcW w:w="610"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2.52</w:t>
            </w:r>
          </w:p>
        </w:tc>
        <w:tc>
          <w:tcPr>
            <w:tcW w:w="361" w:type="dxa"/>
            <w:tcBorders/>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0.07</w:t>
            </w:r>
          </w:p>
        </w:tc>
        <w:tc>
          <w:tcPr>
            <w:tcW w:w="361" w:type="dxa"/>
            <w:tcBorders/>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2.70</w:t>
            </w:r>
          </w:p>
        </w:tc>
        <w:tc>
          <w:tcPr>
            <w:tcW w:w="361" w:type="dxa"/>
            <w:tcBorders/>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610" w:type="dxa"/>
            <w:tcBorders/>
            <w:vAlign w:val="center"/>
          </w:tcPr>
          <w:p>
            <w:pPr>
              <w:pStyle w:val="TableContents"/>
              <w:bidi w:val="0"/>
              <w:spacing w:lineRule="auto" w:line="285" w:before="0" w:after="0"/>
              <w:ind w:left="0" w:right="0" w:hanging="0"/>
              <w:jc w:val="right"/>
              <w:rPr/>
            </w:pPr>
            <w:r>
              <w:rPr/>
              <w:t>—</w:t>
            </w:r>
          </w:p>
        </w:tc>
        <w:tc>
          <w:tcPr>
            <w:tcW w:w="385"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20"/>
              </w:rPr>
            </w:pPr>
            <w:r>
              <w:rPr>
                <w:rFonts w:ascii="Times New Roman;Times;serif" w:hAnsi="Times New Roman;Times;serif"/>
                <w:spacing w:val="-10"/>
                <w:sz w:val="20"/>
              </w:rPr>
              <w:t>%  </w:t>
            </w:r>
          </w:p>
        </w:tc>
        <w:tc>
          <w:tcPr>
            <w:tcW w:w="61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1.97</w:t>
            </w:r>
          </w:p>
        </w:tc>
        <w:tc>
          <w:tcPr>
            <w:tcW w:w="361" w:type="dxa"/>
            <w:tcBorders/>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0.05</w:t>
            </w:r>
          </w:p>
        </w:tc>
        <w:tc>
          <w:tcPr>
            <w:tcW w:w="361" w:type="dxa"/>
            <w:tcBorders/>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2.17</w:t>
            </w:r>
          </w:p>
        </w:tc>
        <w:tc>
          <w:tcPr>
            <w:tcW w:w="316" w:type="dxa"/>
            <w:tcBorders/>
            <w:vAlign w:val="center"/>
          </w:tcPr>
          <w:p>
            <w:pPr>
              <w:pStyle w:val="TableContents"/>
              <w:bidi w:val="0"/>
              <w:spacing w:lineRule="auto" w:line="285"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w:t>
            </w:r>
          </w:p>
        </w:tc>
      </w:tr>
      <w:tr>
        <w:trPr/>
        <w:tc>
          <w:tcPr>
            <w:tcW w:w="153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All investments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1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15.08</w:t>
            </w:r>
          </w:p>
        </w:tc>
        <w:tc>
          <w:tcPr>
            <w:tcW w:w="3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17.47</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14.77</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15.45</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14.29</w:t>
            </w:r>
          </w:p>
        </w:tc>
        <w:tc>
          <w:tcPr>
            <w:tcW w:w="3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3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15.07</w:t>
            </w:r>
          </w:p>
        </w:tc>
        <w:tc>
          <w:tcPr>
            <w:tcW w:w="3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9805" w:type="dxa"/>
        <w:jc w:val="left"/>
        <w:tblInd w:w="200" w:type="dxa"/>
        <w:tblLayout w:type="fixed"/>
        <w:tblCellMar>
          <w:top w:w="0" w:type="dxa"/>
          <w:left w:w="0" w:type="dxa"/>
          <w:bottom w:w="0" w:type="dxa"/>
          <w:right w:w="0" w:type="dxa"/>
        </w:tblCellMar>
      </w:tblPr>
      <w:tblGrid>
        <w:gridCol w:w="298"/>
        <w:gridCol w:w="95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tc>
      </w:tr>
    </w:tbl>
    <w:tbl>
      <w:tblPr>
        <w:tblW w:w="9805" w:type="dxa"/>
        <w:jc w:val="left"/>
        <w:tblInd w:w="200" w:type="dxa"/>
        <w:tblLayout w:type="fixed"/>
        <w:tblCellMar>
          <w:top w:w="0" w:type="dxa"/>
          <w:left w:w="0" w:type="dxa"/>
          <w:bottom w:w="0" w:type="dxa"/>
          <w:right w:w="0" w:type="dxa"/>
        </w:tblCellMar>
      </w:tblPr>
      <w:tblGrid>
        <w:gridCol w:w="298"/>
        <w:gridCol w:w="95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tc>
      </w:tr>
    </w:tbl>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Investment Strategy and Approach</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investment objective is to maximize total return to our stockholders primarily through current income on our loan portfolio and secondarily through capital appreciation on our warrants and other equity positions. We typically invest in senior secured term loans and other senior debt obligations and may on occasion invest in second lien loans. We generally receive warrants and/or other equity securities from portfolio companies in connection with our investments in loans to these companies.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focus on lending to late and growth stage companies in technology, healthcare, business services, financial services, and select consumer services and products in other high-growth industries.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are typically the sole lender to our portfolio companies and do not actively syndicate the loans we originate to other lenders nor do we participate in syndications built by other lenders.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originate our investments through two strategies: Sponsored Growth Lending and Non-Sponsored Growth Lending. In addition to our core strategy of providing Sponsored Growth Lending and Non-Sponsored Growth Lending, we may also opportunistically participate in the secondary markets for investments that are consistent with our broader investment strategy.</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risk-adjusted return for the portfolio viewed as a whole. Borrowers tend to use the proceeds of our financing to invest in sales and marketing, expand capacity of the overall business or refinance existing debt.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Sponsored Growth Lending</w:t>
      </w:r>
      <w:r>
        <w:rPr>
          <w:rFonts w:ascii="Times New Roman;Times;serif" w:hAnsi="Times New Roman;Times;serif"/>
          <w:sz w:val="20"/>
        </w:rPr>
        <w:t>. Our Sponsored Growth Lending strategy generally includes loans to late and growth stage companies that are already backed by established venture capital firms. Our Sponsored Growth Lending strategy typically includes the receipt of warrants and/or other equity from these venture- backed companies.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us access to many high-quality companies backed by top-tier venture capital and private equity investors;</w:t>
            </w:r>
          </w:p>
        </w:tc>
      </w:tr>
    </w:tbl>
    <w:tbl>
      <w:tblPr>
        <w:tblW w:w="5751" w:type="dxa"/>
        <w:jc w:val="left"/>
        <w:tblInd w:w="20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delivers consistent returns through double-digit loan yields;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often offers us the ability to participate in equity upside of portfolio companies through the acquisition of warrants.</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Non-Sponsored Growth Lending</w:t>
      </w:r>
      <w:r>
        <w:rPr>
          <w:rFonts w:ascii="Times New Roman;Times;serif" w:hAnsi="Times New Roman;Times;serif"/>
          <w:sz w:val="20"/>
        </w:rPr>
        <w:t>. Our Non-Sponsored Growth Lending strategy generally includes loans to late and growth stage, private companies that are funded directly by entrepreneurs and founders, or companies that no longer require institutional equity investment (which may selectively include publicly traded companies). We refer to these target borrowers as “non-sponsored growth companies”.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Generally, financing available to these non-sponsored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As a BDC, we are generally limited in our ability to invest in any portfolio company in which Runway Growth Capital or any of its affiliates currently has an investment or to make any co-investments with our investment adviser or its affiliates without an exemptive order from the SEC, subject to certain exceptions. On August 10, 2020, as amended on August 30, 2022, we, Runway Growth Capital, and certain other funds and accounts sponsored or managed by Runway Growth Capital were granted an exemptive order (the “Order”) that permits us greater flexibility than the 1940 Act permits to negotiate the terms of co-investments if our Board determines that it would be advantageous for us to co-invest with other accounts sponsored or managed by Runway Growth Capital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Runway Growth Capital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Market Opportunity</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believe that the market environment is favorable for us to continue to pursue an investment strategy primarily focused on late stage and high-growth companies in technology, healthcare, business services, financial services, and select consumer services and products in other high-growth industries.</w:t>
      </w:r>
    </w:p>
    <w:p>
      <w:pPr>
        <w:pStyle w:val="TextBody"/>
        <w:bidi w:val="0"/>
        <w:spacing w:lineRule="auto" w:line="285" w:before="0" w:after="240"/>
        <w:ind w:left="200" w:right="200" w:firstLine="360"/>
        <w:jc w:val="left"/>
        <w:rPr>
          <w:rFonts w:ascii="Times New Roman;Times;serif" w:hAnsi="Times New Roman;Times;serif"/>
          <w:b/>
          <w:i/>
          <w:sz w:val="20"/>
        </w:rPr>
      </w:pPr>
      <w:r>
        <w:rPr>
          <w:rFonts w:ascii="Times New Roman;Times;serif" w:hAnsi="Times New Roman;Times;serif"/>
          <w:b/>
          <w:i/>
          <w:sz w:val="20"/>
        </w:rPr>
        <w:t>Focus on Innovative Companies Across a Variety of High-Growth Industries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Diversified high-growth potential industries</w:t>
      </w:r>
      <w:r>
        <w:rPr>
          <w:rFonts w:ascii="Times New Roman;Times;serif" w:hAnsi="Times New Roman;Times;serif"/>
          <w:sz w:val="20"/>
        </w:rPr>
        <w:t>: We target companies active in industries that support high- growth potential. Our Sponsored Growth Lending strategy is focused on the largest industry sectors where venture capital investors are active, primarily technology, healthcare, business services, financial services, 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Annual Venture Capital Activity — Deal Volume ($ in billions) and Deal Count</w:t>
      </w:r>
    </w:p>
    <w:p>
      <w:pPr>
        <w:pStyle w:val="TextBody"/>
        <w:bidi w:val="0"/>
        <w:spacing w:lineRule="auto" w:line="285" w:before="0" w:after="240"/>
        <w:ind w:left="200" w:right="200" w:hanging="0"/>
        <w:jc w:val="center"/>
        <w:rPr/>
      </w:pPr>
      <w:r>
        <w:rPr/>
        <w:drawing>
          <wp:inline distT="0" distB="0" distL="0" distR="0">
            <wp:extent cx="5431790" cy="4215130"/>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12"/>
                    <a:stretch>
                      <a:fillRect/>
                    </a:stretch>
                  </pic:blipFill>
                  <pic:spPr bwMode="auto">
                    <a:xfrm>
                      <a:off x="0" y="0"/>
                      <a:ext cx="5431790" cy="4215130"/>
                    </a:xfrm>
                    <a:prstGeom prst="rect">
                      <a:avLst/>
                    </a:prstGeom>
                  </pic:spPr>
                </pic:pic>
              </a:graphicData>
            </a:graphic>
          </wp:inline>
        </w:drawing>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Source:   Pitchbook-NVCA Venture Monitor data, Q4 2024</w:t>
      </w:r>
    </w:p>
    <w:p>
      <w:pPr>
        <w:pStyle w:val="TextBody"/>
        <w:bidi w:val="0"/>
        <w:spacing w:lineRule="auto" w:line="285" w:before="0" w:after="240"/>
        <w:ind w:left="200" w:right="200" w:firstLine="360"/>
        <w:jc w:val="left"/>
        <w:rPr>
          <w:rFonts w:ascii="Times New Roman;Times;serif" w:hAnsi="Times New Roman;Times;serif"/>
          <w:b/>
          <w:i/>
          <w:sz w:val="20"/>
        </w:rPr>
      </w:pPr>
      <w:r>
        <w:rPr>
          <w:rFonts w:ascii="Times New Roman;Times;serif" w:hAnsi="Times New Roman;Times;serif"/>
          <w:b/>
          <w:i/>
          <w:sz w:val="20"/>
        </w:rPr>
        <w:t>Sponsored and Non-Sponsored Lending Represents an Attractive Source of Funding</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Sponsored Growth Lending</w:t>
      </w:r>
      <w:r>
        <w:rPr>
          <w:rFonts w:ascii="Times New Roman;Times;serif" w:hAnsi="Times New Roman;Times;serif"/>
          <w:sz w:val="20"/>
        </w:rPr>
        <w:t>: An attractive market opportunity exists for a lender that invests in secured loans to late and growth stage companies that have not yet achieved profitability. Sponsored growth lending provides an attractive source of funds for venture-backed companies, their management teams, and their equity capital investors, as it:</w:t>
      </w:r>
    </w:p>
    <w:tbl>
      <w:tblPr>
        <w:tblW w:w="9111" w:type="dxa"/>
        <w:jc w:val="left"/>
        <w:tblInd w:w="20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typically less dilutive and complements equity financing from venture capital and private equity funds;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often extends the time period during which a company can operate before seeking additional equity capital or pursuing a sale transaction or other liquidity event; and</w:t>
            </w:r>
          </w:p>
        </w:tc>
      </w:tr>
    </w:tbl>
    <w:tbl>
      <w:tblPr>
        <w:tblW w:w="5931" w:type="dxa"/>
        <w:jc w:val="left"/>
        <w:tblInd w:w="20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allows companies to better match cash sources with uses.</w:t>
            </w:r>
          </w:p>
        </w:tc>
      </w:tr>
    </w:tbl>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Non-Sponsored Growth Lending</w:t>
      </w:r>
      <w:r>
        <w:rPr>
          <w:rFonts w:ascii="Times New Roman;Times;serif" w:hAnsi="Times New Roman;Times;serif"/>
          <w:sz w:val="20"/>
        </w:rPr>
        <w:t>: An attractive market opportunity exists for a lender that invests in secured loans to late and growth 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growth capital without the requirement to take on institutional-size investments that may exceed the company’s capital requirements;</w:t>
            </w:r>
          </w:p>
        </w:tc>
      </w:tr>
    </w:tbl>
    <w:tbl>
      <w:tblPr>
        <w:tblW w:w="3231" w:type="dxa"/>
        <w:jc w:val="left"/>
        <w:tblInd w:w="200" w:type="dxa"/>
        <w:tblLayout w:type="fixed"/>
        <w:tblCellMar>
          <w:top w:w="28" w:type="dxa"/>
          <w:left w:w="28" w:type="dxa"/>
          <w:bottom w:w="28" w:type="dxa"/>
          <w:right w:w="28" w:type="dxa"/>
        </w:tblCellMar>
      </w:tblPr>
      <w:tblGrid>
        <w:gridCol w:w="124"/>
        <w:gridCol w:w="256"/>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deductible interest payments;</w:t>
            </w:r>
          </w:p>
        </w:tc>
      </w:tr>
    </w:tbl>
    <w:tbl>
      <w:tblPr>
        <w:tblW w:w="3771" w:type="dxa"/>
        <w:jc w:val="left"/>
        <w:tblInd w:w="20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significant operational involvement;</w:t>
            </w:r>
          </w:p>
        </w:tc>
      </w:tr>
    </w:tbl>
    <w:tbl>
      <w:tblPr>
        <w:tblW w:w="2451" w:type="dxa"/>
        <w:jc w:val="left"/>
        <w:tblInd w:w="20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personal guarantees;</w:t>
            </w:r>
          </w:p>
        </w:tc>
      </w:tr>
    </w:tbl>
    <w:tbl>
      <w:tblPr>
        <w:tblW w:w="3186" w:type="dxa"/>
        <w:jc w:val="left"/>
        <w:tblInd w:w="20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modest dilution, if any; and</w:t>
            </w:r>
          </w:p>
        </w:tc>
      </w:tr>
    </w:tbl>
    <w:tbl>
      <w:tblPr>
        <w:tblW w:w="4671" w:type="dxa"/>
        <w:jc w:val="left"/>
        <w:tblInd w:w="20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loss of managerial control or forced redemption.</w:t>
            </w:r>
          </w:p>
        </w:tc>
      </w:tr>
    </w:tbl>
    <w:p>
      <w:pPr>
        <w:pStyle w:val="TextBody"/>
        <w:bidi w:val="0"/>
        <w:spacing w:lineRule="auto" w:line="285" w:before="0" w:after="240"/>
        <w:ind w:left="200" w:right="200" w:firstLine="360"/>
        <w:jc w:val="left"/>
        <w:rPr>
          <w:rFonts w:ascii="Times New Roman;Times;serif" w:hAnsi="Times New Roman;Times;serif"/>
          <w:b/>
          <w:i/>
          <w:sz w:val="20"/>
        </w:rPr>
      </w:pPr>
      <w:r>
        <w:rPr>
          <w:rFonts w:ascii="Times New Roman;Times;serif" w:hAnsi="Times New Roman;Times;serif"/>
          <w:b/>
          <w:i/>
          <w:sz w:val="20"/>
        </w:rPr>
        <w:t>Large and Growing Market for Debt Financing to Venture Capital-Backed Companies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 xml:space="preserve">Healthy, stable venture environment: </w:t>
      </w:r>
      <w:r>
        <w:rPr>
          <w:rFonts w:ascii="Times New Roman;Times;serif" w:hAnsi="Times New Roman;Times;serif"/>
          <w:sz w:val="20"/>
        </w:rPr>
        <w:t>Approximately 15,250 companies received venture capital financing in 2024, according to the Pitchbook-NVCA Venture Monitor, a quarterly report published jointly by NVCA and Pitchbook on venture capital activity (“Pitchbook-NVCA”). Despite the broader economic challenges of 2024, we anticipate the market for borrowers will gradually improve over the coming quarters. The venture debt lending market, as defined in the Q4 2024 Pitchbook-NVCA Venture Monitor, is estimated at $53.3 billion or roughly 25.5% of total U.S. venture capital deal value in.</w:t>
      </w:r>
    </w:p>
    <w:p>
      <w:pPr>
        <w:pStyle w:val="TextBody"/>
        <w:bidi w:val="0"/>
        <w:spacing w:lineRule="auto" w:line="285" w:before="0" w:after="240"/>
        <w:ind w:left="200" w:right="200" w:hanging="0"/>
        <w:jc w:val="center"/>
        <w:rPr>
          <w:rFonts w:ascii="Times New Roman;Times;serif" w:hAnsi="Times New Roman;Times;serif"/>
          <w:b/>
          <w:sz w:val="20"/>
        </w:rPr>
      </w:pPr>
      <w:r>
        <w:rPr>
          <w:rFonts w:ascii="Times New Roman;Times;serif" w:hAnsi="Times New Roman;Times;serif"/>
          <w:b/>
          <w:sz w:val="20"/>
        </w:rPr>
        <w:t>Annual Venture Capital Activity — Deal Volume ($ in billions) and Deal Count</w:t>
      </w:r>
    </w:p>
    <w:p>
      <w:pPr>
        <w:pStyle w:val="TextBody"/>
        <w:bidi w:val="0"/>
        <w:spacing w:lineRule="auto" w:line="285" w:before="0" w:after="240"/>
        <w:ind w:left="200" w:right="200" w:hanging="0"/>
        <w:jc w:val="center"/>
        <w:rPr/>
      </w:pPr>
      <w:r>
        <w:rPr/>
        <w:drawing>
          <wp:inline distT="0" distB="0" distL="0" distR="0">
            <wp:extent cx="4965065" cy="2743200"/>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13"/>
                    <a:stretch>
                      <a:fillRect/>
                    </a:stretch>
                  </pic:blipFill>
                  <pic:spPr bwMode="auto">
                    <a:xfrm>
                      <a:off x="0" y="0"/>
                      <a:ext cx="4965065" cy="2743200"/>
                    </a:xfrm>
                    <a:prstGeom prst="rect">
                      <a:avLst/>
                    </a:prstGeom>
                  </pic:spPr>
                </pic:pic>
              </a:graphicData>
            </a:graphic>
          </wp:inline>
        </w:drawing>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Source: Pitchbook-NVCA Venture Monitor data, Q4 2024.</w:t>
      </w:r>
    </w:p>
    <w:p>
      <w:pPr>
        <w:pStyle w:val="TextBody"/>
        <w:bidi w:val="0"/>
        <w:spacing w:lineRule="auto" w:line="285" w:before="0" w:after="0"/>
        <w:ind w:left="200" w:right="200" w:firstLine="360"/>
        <w:jc w:val="left"/>
        <w:rPr>
          <w:rFonts w:ascii="Aptos" w:hAnsi="Aptos"/>
          <w:sz w:val="20"/>
        </w:rPr>
      </w:pPr>
      <w:r>
        <w:rPr>
          <w:rFonts w:ascii="Times New Roman;Times;serif" w:hAnsi="Times New Roman;Times;serif"/>
          <w:i/>
          <w:sz w:val="20"/>
        </w:rPr>
        <w:t>Growing pool of target companies</w:t>
      </w:r>
      <w:r>
        <w:rPr>
          <w:rFonts w:ascii="Times New Roman;Times;serif" w:hAnsi="Times New Roman;Times;serif"/>
          <w:sz w:val="20"/>
        </w:rPr>
        <w:t xml:space="preserve">: The time from initial venture capital investment to transaction exit of such investment, either by an initial public offering or merger and acquisition transaction, compressed slightly over the last couple of years but increased in 2024. According to the Pitchbook-NVCA Q4 2024 Venture Monitor, in 2024 the average number of years from initial venture investment to initial public offering of a U.S. venture capital-backed company was 6.3 years, and the average number of years from initial venture investment to merger and acquisition transaction was 4.6 years. Exit transactions are a small proportion of companies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sz w:val="20"/>
        </w:rPr>
      </w:pPr>
      <w:r>
        <w:rPr>
          <w:rFonts w:ascii="Times New Roman;Times;serif" w:hAnsi="Times New Roman;Times;serif"/>
          <w:sz w:val="20"/>
        </w:rPr>
        <w:t>financed by venture capital each year. As a result, the pool of target companies has grown larger with increased demand for private capital.</w:t>
      </w:r>
    </w:p>
    <w:p>
      <w:pPr>
        <w:pStyle w:val="TextBody"/>
        <w:bidi w:val="0"/>
        <w:spacing w:lineRule="auto" w:line="285" w:before="0" w:after="240"/>
        <w:ind w:left="200" w:right="200" w:firstLine="360"/>
        <w:jc w:val="left"/>
        <w:rPr>
          <w:rFonts w:ascii="Times New Roman;Times;serif" w:hAnsi="Times New Roman;Times;serif"/>
          <w:b/>
          <w:i/>
          <w:sz w:val="20"/>
        </w:rPr>
      </w:pPr>
      <w:r>
        <w:rPr>
          <w:rFonts w:ascii="Times New Roman;Times;serif" w:hAnsi="Times New Roman;Times;serif"/>
          <w:b/>
          <w:i/>
          <w:sz w:val="20"/>
        </w:rPr>
        <w:t>Highly Fragmented, Underserved Market with High Barriers to Entry</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Unfulfilled demand and limited competition</w:t>
      </w:r>
      <w:r>
        <w:rPr>
          <w:rFonts w:ascii="Times New Roman;Times;serif" w:hAnsi="Times New Roman;Times;serif"/>
          <w:sz w:val="20"/>
        </w:rPr>
        <w:t>: 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Competitive Advantages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believe we are well positioned to address the market for growth lending in a manner that will result in a competitive advantage over other established sponsored growth lenders. We believe our competitive strengths and key differentiators include:</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b/>
          <w:i/>
          <w:sz w:val="20"/>
        </w:rPr>
        <w:t>Experienced, Proven Management Team Supported by a Deep Bench of Dedicated Investment Professionals</w:t>
      </w:r>
      <w:r>
        <w:rPr>
          <w:rFonts w:ascii="Times New Roman;Times;serif" w:hAnsi="Times New Roman;Times;serif"/>
          <w:sz w:val="20"/>
        </w:rPr>
        <w: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senior investment professionals of Runway Growth Capital have over 23 years of experience as venture capitalists and lenders who have developed a disciplined, repeatable approach to investing and managing investments in high-growth potential businesses. We believe that the experience, relationships and disciplined investment and risk management processes of Runway Growth Capital’s investment professionals are a competitive advantage for us.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President and Chief Executive Officer, David Spreng, who is also the founder, Chief Executive Officer and Chief Investment Officer of Runway Growth Capital,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Chief Financial Officer and Chief Operating Officer, Thomas Raterman, has more than 30 years of corporate finance, investment banking, private equity and financial executive management experience with rapidly growing entrepreneurial companies. Greg Greifeld, Managing Director, Deputy Chief Investment Officer and Head of Credit at Runway Growth Capital, has over 16 years of lending, venture capital, and investment management experience.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Runway Growth Capital has a broad team of professionals focused on every aspect of the investment lifecycle. Runway Growth Capital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b/>
          <w:i/>
          <w:sz w:val="20"/>
        </w:rPr>
        <w:t>Provide Capital to Robust, High-Growth Venture-backed Companies</w:t>
      </w:r>
      <w:r>
        <w:rPr>
          <w:rFonts w:ascii="Times New Roman;Times;serif" w:hAnsi="Times New Roman;Times;serif"/>
          <w:sz w:val="20"/>
        </w:rPr>
        <w:t>. We believe we are favorably positioned within the venture lending ecosystem, targeting primarily growth 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2024 Pitchbook NVCA Venture Monitor and Pitchbook-NVCA industry classifications, venture capital deal volume for technology totaled approximately $183.8 billion in 2024, representing a 12.0% CAGR from 2014 to 2024. Venture capital deal volume for life science totaled approximately $36.3 billion in 2024, representing a 9.6% CAGR from 2014 to 2024. We believe companies within these industries can often be characterized as having asset-light business models, attractive recurring revenue streams and strong growth trajectories.</w:t>
      </w:r>
    </w:p>
    <w:p>
      <w:pPr>
        <w:pStyle w:val="TextBody"/>
        <w:bidi w:val="0"/>
        <w:spacing w:lineRule="auto" w:line="285"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We invest across industries to diversify risk and deliver more stable returns. The investment professionals at Runway Growth Capital have extensive experience investing in the industries on which we focus, including technology, healthcare, business services, financial services, and select consumer services and products in other high-growth industries. Our ability to invest across diverse industries is supported by our Sponsored Growth Lending strategy and relationships with leading venture firms, who are generally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sz w:val="20"/>
        </w:rPr>
      </w:pPr>
      <w:r>
        <w:rPr>
          <w:rFonts w:ascii="Times New Roman;Times;serif" w:hAnsi="Times New Roman;Times;serif"/>
          <w:sz w:val="20"/>
        </w:rPr>
        <w:t>industry experts in the areas in which they invest. We are able to leverage our relationships across equity providers, lenders, and advisers to source deals within the venture industry.</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b/>
          <w:i/>
          <w:sz w:val="20"/>
        </w:rPr>
        <w:t>Robust Disciplined Investment Process and Credit Analysis</w:t>
      </w:r>
      <w:r>
        <w:rPr>
          <w:rFonts w:ascii="Times New Roman;Times;serif" w:hAnsi="Times New Roman;Times;serif"/>
          <w:sz w:val="20"/>
        </w:rPr>
        <w:t>. Runway Growth Capital’s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believe the focused and disciplined approach that Runway Growth Capital applies to our lending strategy enables us to deliver strong, consistent returns to our investors. As of September 30, 2024, our debt portfolio is 98.6% first lien senior secured. Of our $2.2 billion total funded commitments since inception, our cumulative gross loss rate, as a percentage of total commitments since inception, has been 0.88% and our net losses, as a percentage of total commitments since inception, has been 0.71%. On average, our portfolio companies have raised $132.7 million of equity proceeds relative to our average loan commitment size of $41.3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b/>
          <w:i/>
          <w:sz w:val="20"/>
        </w:rPr>
        <w:t>Proprietary Risk Analytics Return Optimization</w:t>
      </w:r>
      <w:r>
        <w:rPr>
          <w:rFonts w:ascii="Times New Roman;Times;serif" w:hAnsi="Times New Roman;Times;serif"/>
          <w:sz w:val="20"/>
        </w:rPr>
        <w:t>. Over the past 20 years, Runway Growth Capital’s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b/>
          <w:i/>
          <w:sz w:val="20"/>
        </w:rPr>
        <w:t>Flexible, Opportunity-Specific Pricing and Structure</w:t>
      </w:r>
      <w:r>
        <w:rPr>
          <w:rFonts w:ascii="Times New Roman;Times;serif" w:hAnsi="Times New Roman;Times;serif"/>
          <w:sz w:val="20"/>
        </w:rPr>
        <w:t>. Runway Growth Capital’s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(“EBITDA”) but have been unable to access sufficient capital to fund current growth opportunities. We believe that gaining a comprehensive picture of an opportunity based on Runway Growth Capital’s defined assessment factors allows us to be more flexible, to identify price and structure inefficiencies in the debt market, better support our portfolio companies, and to maximize loan and warrant returns, while minimizing losses. In our Sponsored and Non-Sponsored Growth Lending strategies, we target our loan to be less than 25% of enterprise value at inception.</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b/>
          <w:i/>
          <w:sz w:val="20"/>
        </w:rPr>
        <w:t>Strong Reputation and Deep Relationships</w:t>
      </w:r>
      <w:r>
        <w:rPr>
          <w:rFonts w:ascii="Times New Roman;Times;serif" w:hAnsi="Times New Roman;Times;serif"/>
          <w:sz w:val="20"/>
        </w:rPr>
        <w:t>. Runway Growth Capital’s senior investment professionals enjoy reputations as innovative thought leaders, ingrained in the fabric of the venture community. Runway Growth Capital’s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Runway Growth Capital’s senior investment professionals also have established a network of relationships over two decades with various venture capital firms, venture banks, institutional investors, entrepreneurs and other venture capital market participants, which has allowed Runway Growth Capital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w:t>
      </w:r>
    </w:p>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Use of Leverage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As a BDC, we are generally required to meet an asset coverage ratio, defined under the 1940 Act as the ratio of our gross assets (less all liabilities and indebtedness not represented by senior securities) to our outstanding senior securities, equal to 200% (or 150% if certain conditions are met) after each issuance of senior securities. On October 28, 2021, the Board approved a proposal that permits us to reduce our asset coverage ratio to 150%. On June 16, 2022, our stockholders approved the reduced asset coverage ratio at our 2022 annual meeting of stockholders. The reduced asset coverage ratio of 150% became effective upon receiving stockholder approval.</w:t>
      </w:r>
    </w:p>
    <w:p>
      <w:pPr>
        <w:pStyle w:val="TextBody"/>
        <w:bidi w:val="0"/>
        <w:spacing w:lineRule="auto" w:line="285" w:before="0" w:after="240"/>
        <w:ind w:left="200" w:right="200" w:firstLine="360"/>
        <w:jc w:val="left"/>
        <w:rPr>
          <w:rFonts w:ascii="Times New Roman;Times;serif" w:hAnsi="Times New Roman;Times;serif"/>
          <w:b/>
          <w:i/>
          <w:sz w:val="20"/>
        </w:rPr>
      </w:pPr>
      <w:r>
        <w:rPr>
          <w:rFonts w:ascii="Times New Roman;Times;serif" w:hAnsi="Times New Roman;Times;serif"/>
          <w:b/>
          <w:i/>
          <w:sz w:val="20"/>
        </w:rPr>
        <w:t>Credit Facility</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September 30, 2024,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April 20, 2025 and is followed by a one-year amortization period. The stated maturity date under the Credit Facility is April 20, 2026, unless extended.</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Borrowings under the Credit Facility bear interest on a per annum rate equal to the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For the three and nine months ended September 30, 2024, the weighted average outstanding principal balance was $273.0 million and $248.1 million, respectively, and the weighted average effective interest rate was 8.55% and 8.54%, respectively. For the three and nine months ended September 30, 2023, the weighted average outstanding principal balance was $250.3 million and $298.0 million, respectively, and the weighted average effective interest rate was 8.07% and 7.99%, respectively.</w:t>
      </w:r>
    </w:p>
    <w:p>
      <w:pPr>
        <w:pStyle w:val="TextBody"/>
        <w:bidi w:val="0"/>
        <w:spacing w:lineRule="auto" w:line="285" w:before="0" w:after="240"/>
        <w:ind w:left="200" w:right="200" w:firstLine="360"/>
        <w:jc w:val="left"/>
        <w:rPr>
          <w:rFonts w:ascii="Times New Roman;Times;serif" w:hAnsi="Times New Roman;Times;serif"/>
          <w:b/>
          <w:i/>
          <w:sz w:val="20"/>
        </w:rPr>
      </w:pPr>
      <w:r>
        <w:rPr>
          <w:rFonts w:ascii="Times New Roman;Times;serif" w:hAnsi="Times New Roman;Times;serif"/>
          <w:b/>
          <w:i/>
          <w:sz w:val="20"/>
        </w:rPr>
        <w:t>2026 Notes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Times;serif" w:hAnsi="Times New Roman;Times;serif"/>
          <w:i/>
          <w:sz w:val="20"/>
        </w:rPr>
        <w:t xml:space="preserve">pari passu </w:t>
      </w:r>
      <w:r>
        <w:rPr>
          <w:rFonts w:ascii="Times New Roman;Times;serif" w:hAnsi="Times New Roman;Times;serif"/>
          <w:sz w:val="20"/>
        </w:rPr>
        <w:t>with all outstanding and future unsecured unsubordinated indebtedness issued by the Company.</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i/>
          <w:sz w:val="20"/>
        </w:rPr>
      </w:pPr>
      <w:r>
        <w:rPr>
          <w:rFonts w:ascii="Times New Roman;Times;serif" w:hAnsi="Times New Roman;Times;serif"/>
          <w:i/>
          <w:sz w:val="20"/>
        </w:rPr>
        <w:t>December 2026 Notes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December 2026 Notes bore an interest rate of 4.25% per year and were due on December 10, 2026, unless redeemed, purchased or prepaid prior to such date by the Company or its affiliates in accordance with their terms. The April 2026 Notes were repaid in full on January 21, 2026 and are no longer outstanding. Interest on the December 2026 Notes was be due semiannually in arrears on June 10 and December 10 of each year.</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Aggregate costs in connection with the December 2026 Notes issuance were $1.0 million, and were capitalized and deferred. As of September 30, 2024 and December 31, 2023, unamortized deferred financing costs related to the December 2026 Notes were $0.4 million and $0.6 million, respectively.</w:t>
      </w:r>
    </w:p>
    <w:p>
      <w:pPr>
        <w:pStyle w:val="TextBody"/>
        <w:bidi w:val="0"/>
        <w:spacing w:lineRule="auto" w:line="285" w:before="0" w:after="240"/>
        <w:ind w:left="200" w:right="200" w:firstLine="360"/>
        <w:jc w:val="left"/>
        <w:rPr>
          <w:rFonts w:ascii="Times New Roman;Times;serif" w:hAnsi="Times New Roman;Times;serif"/>
          <w:i/>
          <w:sz w:val="20"/>
        </w:rPr>
      </w:pPr>
      <w:r>
        <w:rPr>
          <w:rFonts w:ascii="Times New Roman;Times;serif" w:hAnsi="Times New Roman;Times;serif"/>
          <w:i/>
          <w:sz w:val="20"/>
        </w:rPr>
        <w:t>April 2026 Notes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Aggregate costs in connection with the April 2026 Notes issuance were $0.4 million, and were capitalized and deferred. As of September 30, 2024 and December 31, 2023, unamortized deferred financing costs related to the April 2026 Notes were $0.2 million and $0.3 million, respectively.</w:t>
      </w:r>
    </w:p>
    <w:p>
      <w:pPr>
        <w:pStyle w:val="TextBody"/>
        <w:bidi w:val="0"/>
        <w:spacing w:lineRule="auto" w:line="285" w:before="0" w:after="240"/>
        <w:ind w:left="200" w:right="200" w:firstLine="360"/>
        <w:jc w:val="left"/>
        <w:rPr>
          <w:rFonts w:ascii="Times New Roman;Times;serif" w:hAnsi="Times New Roman;Times;serif"/>
          <w:b/>
          <w:i/>
          <w:sz w:val="20"/>
        </w:rPr>
      </w:pPr>
      <w:r>
        <w:rPr>
          <w:rFonts w:ascii="Times New Roman;Times;serif" w:hAnsi="Times New Roman;Times;serif"/>
          <w:b/>
          <w:i/>
          <w:sz w:val="20"/>
        </w:rPr>
        <w:t>2027 Notes</w:t>
      </w:r>
    </w:p>
    <w:p>
      <w:pPr>
        <w:pStyle w:val="TextBody"/>
        <w:bidi w:val="0"/>
        <w:spacing w:lineRule="auto" w:line="285" w:before="0" w:after="240"/>
        <w:ind w:left="200" w:right="200" w:firstLine="360"/>
        <w:jc w:val="left"/>
        <w:rPr>
          <w:rFonts w:ascii="Times New Roman;Times;serif" w:hAnsi="Times New Roman;Times;serif"/>
          <w:i/>
          <w:sz w:val="20"/>
        </w:rPr>
      </w:pPr>
      <w:r>
        <w:rPr>
          <w:rFonts w:ascii="Times New Roman;Times;serif" w:hAnsi="Times New Roman;Times;serif"/>
          <w:i/>
          <w:sz w:val="20"/>
        </w:rPr>
        <w:t>July 2027 Notes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The July 2027 Notes bear an interest rate of 7.50% per year and are due on July 28, 2027. 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Times;serif" w:hAnsi="Times New Roman;Times;serif"/>
          <w:i/>
          <w:sz w:val="20"/>
        </w:rPr>
        <w:t>pari passu</w:t>
      </w:r>
      <w:r>
        <w:rPr>
          <w:rFonts w:ascii="Aptos" w:hAnsi="Aptos"/>
          <w:sz w:val="20"/>
        </w:rPr>
        <w:t xml:space="preserve"> </w:t>
      </w:r>
      <w:r>
        <w:rPr>
          <w:rFonts w:ascii="Times New Roman;Times;serif" w:hAnsi="Times New Roman;Times;serif"/>
          <w:sz w:val="20"/>
        </w:rPr>
        <w:t>with the Company’s existing and future unsecured, unsubordinated indebtedness.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Aggregate costs in connection with the July 2027 Notes issuance, including the underwriter’s discount and commissions, were $2.7 million, and were capitalized and deferred. As of September 30, 2024 and December 31, 2023, unamortized deferred financing costs related to the July 2027 Notes were $1.5 million and $1.9 million, respectively.</w:t>
      </w:r>
    </w:p>
    <w:p>
      <w:pPr>
        <w:pStyle w:val="TextBody"/>
        <w:bidi w:val="0"/>
        <w:spacing w:lineRule="auto" w:line="285" w:before="0" w:after="240"/>
        <w:ind w:left="200" w:right="200" w:firstLine="360"/>
        <w:jc w:val="left"/>
        <w:rPr>
          <w:rFonts w:ascii="Times New Roman;Times;serif" w:hAnsi="Times New Roman;Times;serif"/>
          <w:i/>
          <w:sz w:val="20"/>
        </w:rPr>
      </w:pPr>
      <w:r>
        <w:rPr>
          <w:rFonts w:ascii="Times New Roman;Times;serif" w:hAnsi="Times New Roman;Times;serif"/>
          <w:i/>
          <w:sz w:val="20"/>
        </w:rPr>
        <w:t>August 2027 Notes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On August 31, 2022, the Company issued and sold a private debt offering of $20.0 million in aggregate principal amount of 7.00% interest-bearing unsecured Series 2022A Senior Notes due 2027 (the “August 2027 Notes”) to HCM Master Fund Limited.</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The August 2027 Notes are general unsecured obligations of the Company that rank </w:t>
      </w:r>
      <w:r>
        <w:rPr>
          <w:rFonts w:ascii="Times New Roman;Times;serif" w:hAnsi="Times New Roman;Times;serif"/>
          <w:i/>
          <w:sz w:val="20"/>
        </w:rPr>
        <w:t xml:space="preserve">pari passu </w:t>
      </w:r>
      <w:r>
        <w:rPr>
          <w:rFonts w:ascii="Times New Roman;Times;serif" w:hAnsi="Times New Roman;Times;serif"/>
          <w:sz w:val="20"/>
        </w:rPr>
        <w:t>with all outstanding and future unsecured unsubordinated indebtedness issued by the Company.</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Aggregate costs in connection with the August 2027 Notes issuance were $0.7 million, and were capitalized and deferred. As of September 30, 2024 and December 31, 2023, unamortized deferred financing costs related to the August 2027 Notes were $0.4 million and $0.5 million, respectively.</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i/>
          <w:sz w:val="20"/>
        </w:rPr>
      </w:pPr>
      <w:r>
        <w:rPr>
          <w:rFonts w:ascii="Times New Roman;Times;serif" w:hAnsi="Times New Roman;Times;serif"/>
          <w:i/>
          <w:sz w:val="20"/>
        </w:rPr>
        <w:t>December 2027 Notes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On December 7, 2022, the Company issued and sold $51.75 million in aggregate principal amount of 8.00% interest-bearing unsecured Notes due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The December 2027 Notes bear an interest rate of 8.0% per year and are due on December 28, 2027. 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Times;serif" w:hAnsi="Times New Roman;Times;serif"/>
          <w:i/>
          <w:sz w:val="20"/>
        </w:rPr>
        <w:t>pari passu</w:t>
      </w:r>
      <w:r>
        <w:rPr>
          <w:rFonts w:ascii="Aptos" w:hAnsi="Aptos"/>
          <w:sz w:val="20"/>
        </w:rPr>
        <w:t xml:space="preserve"> </w:t>
      </w:r>
      <w:r>
        <w:rPr>
          <w:rFonts w:ascii="Times New Roman;Times;serif" w:hAnsi="Times New Roman;Times;serif"/>
          <w:sz w:val="20"/>
        </w:rPr>
        <w:t>with the Company’s existing and future unsecured, unsubordinated indebtedness.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Aggregate costs in connection with the December 2027 Notes issuance, including the underwriter’s discount and commissions, were $1.9 million, and were capitalized and deferred. As of September 30, 2024 and December 31, 2023, unamortized deferred financing costs related to the December 2027 Notes were $1.2 million and $1.5 million, respectively.</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70" w:name="FEESANDEXPENSES_40074"/>
      <w:bookmarkStart w:id="71" w:name="_e035b55a_f4b8_4fe1_8880_589b09836a75"/>
      <w:bookmarkEnd w:id="70"/>
      <w:bookmarkEnd w:id="71"/>
      <w:r>
        <w:rPr>
          <w:rFonts w:ascii="Times New Roman;Times;serif" w:hAnsi="Times New Roman;Times;serif"/>
          <w:b/>
          <w:sz w:val="20"/>
        </w:rPr>
        <w:t>FEES AND EXPENSES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is intended to assist you in understanding the costs and expenses that you will bear directly or indirectly. We caution you that some of the percentages indicated in the table below are estimates and may vary. The expenses shown in the table under “Annual expenses” are based on estimated amounts for our current fiscal year. The following table should not be considered a representation of our future expenses. Actual expenses may be greater or less than shown. Except where the context suggests otherwise, whenever this prospectus contains a reference to fees or expenses paid by “us” or “the Company” or that “we” will pay fees or expenses, you will indirectly bear these fees or expenses as an investor in the Company.</w:t>
      </w:r>
    </w:p>
    <w:p>
      <w:pPr>
        <w:pStyle w:val="TextBody"/>
        <w:bidi w:val="0"/>
        <w:spacing w:lineRule="auto" w:line="328" w:before="0" w:after="160"/>
        <w:ind w:left="200" w:right="200" w:hanging="0"/>
        <w:jc w:val="left"/>
        <w:rPr/>
      </w:pPr>
      <w:bookmarkStart w:id="72" w:name="Tc_RwCPBAYN1k-TnHhrGxrGIw_11_3"/>
      <w:bookmarkStart w:id="73" w:name="Tc_BLLR_MOn0EispD4fQi9wpQ_11_0"/>
      <w:bookmarkStart w:id="74" w:name="Tc_rQnpIxTI_kC6WcX9hjvSxw_10_3"/>
      <w:bookmarkStart w:id="75" w:name="Tc_ZAP0DRKSPUGkbpROom1GmA_10_0"/>
      <w:bookmarkStart w:id="76" w:name="Tc_0PFkQXts2kqHv5CJ3DU56g_9_3"/>
      <w:bookmarkStart w:id="77" w:name="Tc_g0A75664gUeBxIrvZw0OPQ_9_0"/>
      <w:bookmarkStart w:id="78" w:name="Tc_fYVNwpMeyk-ufWjQ73CGqw_8_3"/>
      <w:bookmarkStart w:id="79" w:name="Tc_PS5LltgGkEm5vB8Djib0_g_8_0"/>
      <w:bookmarkStart w:id="80" w:name="Tc_hGxzTGJcpEqttaxcv3cKWQ_7_3"/>
      <w:bookmarkStart w:id="81" w:name="Tc_q20HDsUoDkmeQdTirVoQNA_7_0"/>
      <w:bookmarkStart w:id="82" w:name="Tc_aGEPfcMWiUq2UnjwBPrYAw_6_0"/>
      <w:bookmarkStart w:id="83" w:name="Tc_5xXuEUxoI06jFngQ3Y-CMA_5_3"/>
      <w:bookmarkStart w:id="84" w:name="Tc_i836aG_AdESn0xkHlgyGOg_5_2"/>
      <w:bookmarkStart w:id="85" w:name="Tc_TC3V9ypcrU-GCowzbBq7GQ_5_0"/>
      <w:bookmarkStart w:id="86" w:name="Tc_NWmEKTeZhUOAJoQiTW0Yiw_4_3"/>
      <w:bookmarkStart w:id="87" w:name="Tc_LbKud5vwgECmcR5c2iVNng_4_0"/>
      <w:bookmarkStart w:id="88" w:name="Tc_Ajg9mHAwk0q2sW6LR7U8qA_3_3"/>
      <w:bookmarkStart w:id="89" w:name="Tc_HjVjpITDxU6q2FOI6bEx_w_3_0"/>
      <w:bookmarkStart w:id="90" w:name="Tc_6GF-HnY9jUiSGnDJOSj6Zw_2_3"/>
      <w:bookmarkStart w:id="91" w:name="Tc_UYomM49DnEuyKNi1FLIkkQ_2_0"/>
      <w:bookmarkStart w:id="92" w:name="Tc_fTyxrOLQI06SBrA_i-D2zg_1_0"/>
      <w:bookmarkStart w:id="93" w:name="Tc_KegWK1wEs0y0Ex9qjdmxNg_0_2"/>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t>​</w:t>
      </w:r>
    </w:p>
    <w:tbl>
      <w:tblPr>
        <w:tblW w:w="8164" w:type="dxa"/>
        <w:jc w:val="left"/>
        <w:tblInd w:w="200" w:type="dxa"/>
        <w:tblLayout w:type="fixed"/>
        <w:tblCellMar>
          <w:top w:w="0" w:type="dxa"/>
          <w:left w:w="0" w:type="dxa"/>
          <w:bottom w:w="0" w:type="dxa"/>
          <w:right w:w="0" w:type="dxa"/>
        </w:tblCellMar>
      </w:tblPr>
      <w:tblGrid>
        <w:gridCol w:w="6601"/>
        <w:gridCol w:w="346"/>
        <w:gridCol w:w="571"/>
        <w:gridCol w:w="646"/>
      </w:tblGrid>
      <w:tr>
        <w:trPr/>
        <w:tc>
          <w:tcPr>
            <w:tcW w:w="6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0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r>
      <w:tr>
        <w:trPr/>
        <w:tc>
          <w:tcPr>
            <w:tcW w:w="660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Stockholder transaction expenses: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646" w:type="dxa"/>
            <w:tcBorders/>
            <w:shd w:fill="CCEEFF" w:val="clear"/>
            <w:vAlign w:val="center"/>
          </w:tcPr>
          <w:p>
            <w:pPr>
              <w:pStyle w:val="TableContents"/>
              <w:bidi w:val="0"/>
              <w:spacing w:lineRule="auto" w:line="328" w:before="0" w:after="160"/>
              <w:ind w:left="0" w:right="0" w:hanging="0"/>
              <w:jc w:val="left"/>
              <w:rPr/>
            </w:pPr>
            <w:r>
              <w:rPr/>
              <w:t>​</w:t>
            </w:r>
          </w:p>
        </w:tc>
      </w:tr>
      <w:tr>
        <w:trPr/>
        <w:tc>
          <w:tcPr>
            <w:tcW w:w="660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Sales load (as a percentage of offering price)</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646" w:type="dxa"/>
            <w:tcBorders/>
            <w:vAlign w:val="center"/>
          </w:tcPr>
          <w:p>
            <w:pPr>
              <w:pStyle w:val="TableContents"/>
              <w:bidi w:val="0"/>
              <w:spacing w:lineRule="auto" w:line="240" w:before="0" w:after="0"/>
              <w:ind w:left="0" w:right="0" w:hanging="0"/>
              <w:jc w:val="left"/>
              <w:rPr>
                <w:rFonts w:ascii="Aptos" w:hAnsi="Aptos"/>
                <w:sz w:val="20"/>
              </w:rPr>
            </w:pPr>
            <w:r>
              <w:rPr>
                <w:rFonts w:ascii="Times New Roman;Times;serif" w:hAnsi="Times New Roman;Times;serif"/>
                <w:sz w:val="20"/>
              </w:rPr>
              <w:t>%</w:t>
            </w:r>
            <w:r>
              <w:rPr>
                <w:rFonts w:ascii="Times New Roman;Times;serif" w:hAnsi="Times New Roman;Times;serif"/>
                <w:sz w:val="15"/>
              </w:rPr>
              <w:t>(1)</w:t>
            </w:r>
          </w:p>
        </w:tc>
      </w:tr>
      <w:tr>
        <w:trPr/>
        <w:tc>
          <w:tcPr>
            <w:tcW w:w="660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Offering expenses (as a percentage of offering price)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646" w:type="dxa"/>
            <w:tcBorders/>
            <w:shd w:fill="CCEEFF" w:val="clear"/>
            <w:vAlign w:val="center"/>
          </w:tcPr>
          <w:p>
            <w:pPr>
              <w:pStyle w:val="TableContents"/>
              <w:bidi w:val="0"/>
              <w:spacing w:lineRule="auto" w:line="240" w:before="0" w:after="0"/>
              <w:ind w:left="0" w:right="0" w:hanging="0"/>
              <w:jc w:val="left"/>
              <w:rPr>
                <w:rFonts w:ascii="Aptos" w:hAnsi="Aptos"/>
                <w:sz w:val="20"/>
              </w:rPr>
            </w:pPr>
            <w:r>
              <w:rPr>
                <w:rFonts w:ascii="Times New Roman;Times;serif" w:hAnsi="Times New Roman;Times;serif"/>
                <w:sz w:val="20"/>
              </w:rPr>
              <w:t>%</w:t>
            </w:r>
            <w:r>
              <w:rPr>
                <w:rFonts w:ascii="Times New Roman;Times;serif" w:hAnsi="Times New Roman;Times;serif"/>
                <w:sz w:val="15"/>
              </w:rPr>
              <w:t>(2)</w:t>
            </w:r>
          </w:p>
        </w:tc>
      </w:tr>
      <w:tr>
        <w:trPr/>
        <w:tc>
          <w:tcPr>
            <w:tcW w:w="660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Dividend reinvestment plan expenses</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646"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Aptos" w:hAnsi="Aptos"/>
                <w:sz w:val="20"/>
              </w:rPr>
            </w:pPr>
            <w:r>
              <w:rPr>
                <w:rFonts w:ascii="Times New Roman;Times;serif" w:hAnsi="Times New Roman;Times;serif"/>
                <w:sz w:val="20"/>
              </w:rPr>
              <w:t>%</w:t>
            </w:r>
            <w:r>
              <w:rPr>
                <w:rFonts w:ascii="Times New Roman;Times;serif" w:hAnsi="Times New Roman;Times;serif"/>
                <w:sz w:val="15"/>
              </w:rPr>
              <w:t>(3)</w:t>
            </w:r>
          </w:p>
        </w:tc>
      </w:tr>
      <w:tr>
        <w:trPr/>
        <w:tc>
          <w:tcPr>
            <w:tcW w:w="660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 transaction expenses (as a percentage of offering price).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w:t>
            </w:r>
          </w:p>
        </w:tc>
        <w:tc>
          <w:tcPr>
            <w:tcW w:w="6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01" w:type="dxa"/>
            <w:tcBorders/>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Annual expenses (as a percentage of net assets attributable to common stock):</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left"/>
              <w:rPr/>
            </w:pPr>
            <w:r>
              <w:rPr/>
              <w:t>​</w:t>
            </w:r>
          </w:p>
        </w:tc>
        <w:tc>
          <w:tcPr>
            <w:tcW w:w="646" w:type="dxa"/>
            <w:tcBorders/>
            <w:vAlign w:val="center"/>
          </w:tcPr>
          <w:p>
            <w:pPr>
              <w:pStyle w:val="TableContents"/>
              <w:bidi w:val="0"/>
              <w:spacing w:lineRule="auto" w:line="328" w:before="0" w:after="160"/>
              <w:ind w:left="0" w:right="0" w:hanging="0"/>
              <w:jc w:val="left"/>
              <w:rPr/>
            </w:pPr>
            <w:r>
              <w:rPr/>
              <w:t>​</w:t>
            </w:r>
          </w:p>
        </w:tc>
      </w:tr>
      <w:tr>
        <w:trPr/>
        <w:tc>
          <w:tcPr>
            <w:tcW w:w="660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Management Fee payable under the Advisory Agreement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646" w:type="dxa"/>
            <w:tcBorders/>
            <w:shd w:fill="CCEEFF" w:val="clear"/>
            <w:vAlign w:val="center"/>
          </w:tcPr>
          <w:p>
            <w:pPr>
              <w:pStyle w:val="TableContents"/>
              <w:bidi w:val="0"/>
              <w:spacing w:lineRule="auto" w:line="240" w:before="0" w:after="0"/>
              <w:ind w:left="0" w:right="0" w:hanging="0"/>
              <w:jc w:val="left"/>
              <w:rPr>
                <w:rFonts w:ascii="Aptos" w:hAnsi="Aptos"/>
                <w:sz w:val="20"/>
              </w:rPr>
            </w:pPr>
            <w:r>
              <w:rPr>
                <w:rFonts w:ascii="Times New Roman;Times;serif" w:hAnsi="Times New Roman;Times;serif"/>
                <w:sz w:val="20"/>
              </w:rPr>
              <w:t>%</w:t>
            </w:r>
            <w:r>
              <w:rPr>
                <w:rFonts w:ascii="Times New Roman;Times;serif" w:hAnsi="Times New Roman;Times;serif"/>
                <w:sz w:val="15"/>
              </w:rPr>
              <w:t>(4)(8)</w:t>
            </w:r>
          </w:p>
        </w:tc>
      </w:tr>
      <w:tr>
        <w:trPr/>
        <w:tc>
          <w:tcPr>
            <w:tcW w:w="660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Incentive Fee payable under the Advisory Agreement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646" w:type="dxa"/>
            <w:tcBorders/>
            <w:vAlign w:val="center"/>
          </w:tcPr>
          <w:p>
            <w:pPr>
              <w:pStyle w:val="TableContents"/>
              <w:bidi w:val="0"/>
              <w:spacing w:lineRule="auto" w:line="240" w:before="0" w:after="0"/>
              <w:ind w:left="0" w:right="0" w:hanging="0"/>
              <w:jc w:val="left"/>
              <w:rPr>
                <w:rFonts w:ascii="Aptos" w:hAnsi="Aptos"/>
                <w:sz w:val="20"/>
              </w:rPr>
            </w:pPr>
            <w:r>
              <w:rPr>
                <w:rFonts w:ascii="Times New Roman;Times;serif" w:hAnsi="Times New Roman;Times;serif"/>
                <w:sz w:val="20"/>
              </w:rPr>
              <w:t>%</w:t>
            </w:r>
            <w:r>
              <w:rPr>
                <w:rFonts w:ascii="Times New Roman;Times;serif" w:hAnsi="Times New Roman;Times;serif"/>
                <w:sz w:val="15"/>
              </w:rPr>
              <w:t>(5)(8)</w:t>
            </w:r>
          </w:p>
        </w:tc>
      </w:tr>
      <w:tr>
        <w:trPr/>
        <w:tc>
          <w:tcPr>
            <w:tcW w:w="660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payments and fees paid on borrowed funds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646" w:type="dxa"/>
            <w:tcBorders/>
            <w:shd w:fill="CCEEFF" w:val="clear"/>
            <w:vAlign w:val="center"/>
          </w:tcPr>
          <w:p>
            <w:pPr>
              <w:pStyle w:val="TableContents"/>
              <w:bidi w:val="0"/>
              <w:spacing w:lineRule="auto" w:line="240" w:before="0" w:after="0"/>
              <w:ind w:left="0" w:right="0" w:hanging="0"/>
              <w:jc w:val="left"/>
              <w:rPr>
                <w:rFonts w:ascii="Aptos" w:hAnsi="Aptos"/>
                <w:sz w:val="20"/>
              </w:rPr>
            </w:pPr>
            <w:r>
              <w:rPr>
                <w:rFonts w:ascii="Times New Roman;Times;serif" w:hAnsi="Times New Roman;Times;serif"/>
                <w:sz w:val="20"/>
              </w:rPr>
              <w:t>%</w:t>
            </w:r>
            <w:r>
              <w:rPr>
                <w:rFonts w:ascii="Times New Roman;Times;serif" w:hAnsi="Times New Roman;Times;serif"/>
                <w:sz w:val="15"/>
              </w:rPr>
              <w:t>(6)(8)</w:t>
            </w:r>
          </w:p>
        </w:tc>
      </w:tr>
      <w:tr>
        <w:trPr/>
        <w:tc>
          <w:tcPr>
            <w:tcW w:w="660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646"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Aptos" w:hAnsi="Aptos"/>
                <w:sz w:val="20"/>
              </w:rPr>
            </w:pPr>
            <w:r>
              <w:rPr>
                <w:rFonts w:ascii="Times New Roman;Times;serif" w:hAnsi="Times New Roman;Times;serif"/>
                <w:sz w:val="20"/>
              </w:rPr>
              <w:t>%</w:t>
            </w:r>
            <w:r>
              <w:rPr>
                <w:rFonts w:ascii="Times New Roman;Times;serif" w:hAnsi="Times New Roman;Times;serif"/>
                <w:sz w:val="15"/>
              </w:rPr>
              <w:t>(7)(8)</w:t>
            </w:r>
          </w:p>
        </w:tc>
      </w:tr>
      <w:tr>
        <w:trPr/>
        <w:tc>
          <w:tcPr>
            <w:tcW w:w="660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annual expenses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17.20</w:t>
            </w:r>
          </w:p>
        </w:tc>
        <w:tc>
          <w:tcPr>
            <w:tcW w:w="6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9805" w:type="dxa"/>
        <w:jc w:val="left"/>
        <w:tblInd w:w="200" w:type="dxa"/>
        <w:tblLayout w:type="fixed"/>
        <w:tblCellMar>
          <w:top w:w="0" w:type="dxa"/>
          <w:left w:w="0" w:type="dxa"/>
          <w:bottom w:w="0" w:type="dxa"/>
          <w:right w:w="0" w:type="dxa"/>
        </w:tblCellMar>
      </w:tblPr>
      <w:tblGrid>
        <w:gridCol w:w="323"/>
        <w:gridCol w:w="9482"/>
      </w:tblGrid>
      <w:tr>
        <w:trPr/>
        <w:tc>
          <w:tcPr>
            <w:tcW w:w="32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48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In the event that the securities are sold to or through underwriters, a related prospectus supplement will disclose the applicable sales load (underwriting discount or commission).</w:t>
            </w:r>
          </w:p>
        </w:tc>
      </w:tr>
    </w:tbl>
    <w:tbl>
      <w:tblPr>
        <w:tblW w:w="9805" w:type="dxa"/>
        <w:jc w:val="left"/>
        <w:tblInd w:w="200" w:type="dxa"/>
        <w:tblLayout w:type="fixed"/>
        <w:tblCellMar>
          <w:top w:w="0" w:type="dxa"/>
          <w:left w:w="0" w:type="dxa"/>
          <w:bottom w:w="0" w:type="dxa"/>
          <w:right w:w="0" w:type="dxa"/>
        </w:tblCellMar>
      </w:tblPr>
      <w:tblGrid>
        <w:gridCol w:w="316"/>
        <w:gridCol w:w="9489"/>
      </w:tblGrid>
      <w:tr>
        <w:trPr/>
        <w:tc>
          <w:tcPr>
            <w:tcW w:w="31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489"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 related prospectus supplement will disclose the estimated amount of offering expenses, the offering price and the estimated amount of offering expenses borne by the Company as a percentage of the offering price.</w:t>
            </w:r>
          </w:p>
        </w:tc>
      </w:tr>
    </w:tbl>
    <w:tbl>
      <w:tblPr>
        <w:tblW w:w="9805" w:type="dxa"/>
        <w:jc w:val="left"/>
        <w:tblInd w:w="200" w:type="dxa"/>
        <w:tblLayout w:type="fixed"/>
        <w:tblCellMar>
          <w:top w:w="0" w:type="dxa"/>
          <w:left w:w="0" w:type="dxa"/>
          <w:bottom w:w="0" w:type="dxa"/>
          <w:right w:w="0" w:type="dxa"/>
        </w:tblCellMar>
      </w:tblPr>
      <w:tblGrid>
        <w:gridCol w:w="326"/>
        <w:gridCol w:w="9479"/>
      </w:tblGrid>
      <w:tr>
        <w:trPr/>
        <w:tc>
          <w:tcPr>
            <w:tcW w:w="32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(3)</w:t>
            </w:r>
          </w:p>
        </w:tc>
        <w:tc>
          <w:tcPr>
            <w:tcW w:w="9479" w:type="dxa"/>
            <w:tcBorders/>
            <w:vAlign w:val="center"/>
          </w:tcPr>
          <w:p>
            <w:pPr>
              <w:pStyle w:val="TableContents"/>
              <w:bidi w:val="0"/>
              <w:spacing w:lineRule="auto" w:line="285" w:before="0" w:after="240"/>
              <w:jc w:val="left"/>
              <w:rPr>
                <w:rFonts w:ascii="Aptos" w:hAnsi="Aptos"/>
                <w:sz w:val="24"/>
              </w:rPr>
            </w:pPr>
            <w:r>
              <w:rPr>
                <w:rFonts w:ascii="Times New Roman;Times;serif" w:hAnsi="Times New Roman;Times;serif"/>
                <w:sz w:val="20"/>
              </w:rPr>
              <w:t>The expenses of the dividend reinvestment plan are included in “other expenses” in the table above. For additional information, see “</w:t>
            </w:r>
            <w:r>
              <w:rPr>
                <w:rFonts w:ascii="Times New Roman;Times;serif" w:hAnsi="Times New Roman;Times;serif"/>
                <w:i/>
                <w:sz w:val="20"/>
              </w:rPr>
              <w:t>Dividend Reinvestment Plan</w:t>
            </w:r>
            <w:r>
              <w:rPr>
                <w:rFonts w:ascii="Times New Roman;Times;serif" w:hAnsi="Times New Roman;Times;serif"/>
                <w:sz w:val="20"/>
              </w:rPr>
              <w:t>.”</w:t>
            </w:r>
          </w:p>
        </w:tc>
      </w:tr>
    </w:tbl>
    <w:tbl>
      <w:tblPr>
        <w:tblW w:w="9805" w:type="dxa"/>
        <w:jc w:val="left"/>
        <w:tblInd w:w="200" w:type="dxa"/>
        <w:tblLayout w:type="fixed"/>
        <w:tblCellMar>
          <w:top w:w="0" w:type="dxa"/>
          <w:left w:w="0" w:type="dxa"/>
          <w:bottom w:w="0" w:type="dxa"/>
          <w:right w:w="0" w:type="dxa"/>
        </w:tblCellMar>
      </w:tblPr>
      <w:tblGrid>
        <w:gridCol w:w="315"/>
        <w:gridCol w:w="9490"/>
      </w:tblGrid>
      <w:tr>
        <w:trPr/>
        <w:tc>
          <w:tcPr>
            <w:tcW w:w="31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(4)</w:t>
            </w:r>
          </w:p>
        </w:tc>
        <w:tc>
          <w:tcPr>
            <w:tcW w:w="9490" w:type="dxa"/>
            <w:tcBorders/>
            <w:vAlign w:val="center"/>
          </w:tcPr>
          <w:p>
            <w:pPr>
              <w:pStyle w:val="TableContents"/>
              <w:bidi w:val="0"/>
              <w:spacing w:lineRule="auto" w:line="285" w:before="0" w:after="240"/>
              <w:jc w:val="left"/>
              <w:rPr>
                <w:rFonts w:ascii="Aptos" w:hAnsi="Aptos"/>
                <w:sz w:val="24"/>
              </w:rPr>
            </w:pPr>
            <w:r>
              <w:rPr>
                <w:rFonts w:ascii="Times New Roman;Times;serif" w:hAnsi="Times New Roman;Times;serif"/>
                <w:sz w:val="20"/>
              </w:rPr>
              <w:t>Assumes the base management fee will be an amount equal to 0.375% (1.50% annualized) of our average daily Gross Assets during the most recently completed calendar quarter. See “</w:t>
            </w:r>
            <w:r>
              <w:rPr>
                <w:rFonts w:ascii="Times New Roman;Times;serif" w:hAnsi="Times New Roman;Times;serif"/>
                <w:i/>
                <w:sz w:val="20"/>
              </w:rPr>
              <w:t>Management and Other Agreements</w:t>
            </w:r>
            <w:r>
              <w:rPr>
                <w:rFonts w:ascii="Times New Roman;Times;serif" w:hAnsi="Times New Roman;Times;serif"/>
                <w:sz w:val="20"/>
              </w:rPr>
              <w:t>.”</w:t>
            </w:r>
          </w:p>
        </w:tc>
      </w:tr>
    </w:tbl>
    <w:tbl>
      <w:tblPr>
        <w:tblW w:w="9805" w:type="dxa"/>
        <w:jc w:val="left"/>
        <w:tblInd w:w="200" w:type="dxa"/>
        <w:tblLayout w:type="fixed"/>
        <w:tblCellMar>
          <w:top w:w="0" w:type="dxa"/>
          <w:left w:w="0" w:type="dxa"/>
          <w:bottom w:w="0" w:type="dxa"/>
          <w:right w:w="0" w:type="dxa"/>
        </w:tblCellMar>
      </w:tblPr>
      <w:tblGrid>
        <w:gridCol w:w="320"/>
        <w:gridCol w:w="9485"/>
      </w:tblGrid>
      <w:tr>
        <w:trPr/>
        <w:tc>
          <w:tcPr>
            <w:tcW w:w="32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(5)</w:t>
            </w:r>
          </w:p>
        </w:tc>
        <w:tc>
          <w:tcPr>
            <w:tcW w:w="948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incentive fee, which provides Runway Growth Capital with a share of the income that Runway Growth Capital generates for us, consists of an Investment Income Fee and a Capital Gains Fee.</w:t>
            </w:r>
          </w:p>
        </w:tc>
      </w:tr>
    </w:tbl>
    <w:p>
      <w:pPr>
        <w:pStyle w:val="TextBody"/>
        <w:bidi w:val="0"/>
        <w:spacing w:lineRule="auto" w:line="285" w:before="0" w:after="240"/>
        <w:ind w:left="560" w:right="200" w:hanging="0"/>
        <w:jc w:val="left"/>
        <w:rPr>
          <w:rFonts w:ascii="Times New Roman;Times;serif" w:hAnsi="Times New Roman;Times;serif"/>
          <w:sz w:val="20"/>
        </w:rPr>
      </w:pPr>
      <w:r>
        <w:rPr>
          <w:rFonts w:ascii="Times New Roman;Times;serif" w:hAnsi="Times New Roman;Times;serif"/>
          <w:sz w:val="20"/>
        </w:rPr>
        <w:t>Under the Income Incentive Fee, we pay Runway Growth Capital each quarter an incentive fee with respect to our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Pre-Incentive Fee net investment income, expressed as a rate of return on the value of our net assets (defined as total assets less liabilities) at the end of the immediately preceding fiscal quarter, will be compared to a “hurdle rate” of 2.0% per quarter (8.0% annualized). We will pay Runway Growth Capital an Income Incentive Fee with respect to the our Pre-Incentive Fee net investment income in each calendar quarter as follows: (1) no Income Incentive Fee in any calendar quarter in which our Pre-Incentive Fee net investment income does not exceed the hurdle rate of 2.0%; (2) 80% of our Pre-Incentive Fee net investment income with respect to that portion of such Pre-Incentive Fee net investment income, if any, that exceeds the hurdle rate but is less than 2.667% in any calendar quarter (10.668% annualized) (the portion of our Pre-Incentive Fee net investment income that exceeds the hurdle but is less than 2.667% is referred to as the “catch-up”; the “catch-up” is meant to provide Runway Growth Capital with 20.0% of our Pre-Incentive Fee net investment income as if a hurdle did not apply if our Pre-Incentive Fee net investment income exceeds 2.667% in any calendar quarter (10.668% annualized)); and (3) 20.0% of the amount of our Pre-Incentive Fee net investment income, if any, that exceeds 2.667% in any calendar quarter (10.668% annualized) payable to Runway Growth Capital (once the hurdle is reached and the catch-up is achieved, 20.0% of all Pre-Incentive Fee net investment income thereafter is allocated to Runway Growth Capital).</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560" w:right="200" w:hanging="0"/>
        <w:jc w:val="left"/>
        <w:rPr>
          <w:rFonts w:ascii="Aptos" w:hAnsi="Aptos"/>
          <w:sz w:val="20"/>
        </w:rPr>
      </w:pPr>
      <w:r>
        <w:rPr>
          <w:rFonts w:ascii="Times New Roman;Times;serif" w:hAnsi="Times New Roman;Times;serif"/>
          <w:sz w:val="20"/>
        </w:rPr>
        <w:t xml:space="preserve">Under the Capital Gains Fee, we will pay Runway Growth Capital, as of the end of each calendar year, 20.0% of our aggregate cumulative realized capital gains, if any, from the date of our election to be regulated as a BDC through the end of that calendar year, computed net of our aggregate cumulative realized capital losses and aggregate cumulative unrealized capital depreciation through the end of such year, less the aggregate amount of any previously paid Capital Gains Fee. See </w:t>
      </w:r>
      <w:r>
        <w:rPr>
          <w:rFonts w:ascii="Aptos" w:hAnsi="Aptos"/>
          <w:sz w:val="20"/>
        </w:rPr>
        <w:t>“</w:t>
      </w:r>
      <w:r>
        <w:rPr>
          <w:rFonts w:ascii="Times New Roman;Times;serif" w:hAnsi="Times New Roman;Times;serif"/>
          <w:i/>
          <w:sz w:val="20"/>
        </w:rPr>
        <w:t>Management and Other Agreements</w:t>
      </w:r>
      <w:r>
        <w:rPr>
          <w:rFonts w:ascii="Times New Roman;Times;serif" w:hAnsi="Times New Roman;Times;serif"/>
          <w:sz w:val="20"/>
        </w:rPr>
        <w:t>.</w:t>
      </w:r>
      <w:r>
        <w:rPr>
          <w:rFonts w:ascii="Aptos" w:hAnsi="Aptos"/>
          <w:sz w:val="20"/>
        </w:rPr>
        <w:t>”</w:t>
      </w:r>
    </w:p>
    <w:tbl>
      <w:tblPr>
        <w:tblW w:w="9805" w:type="dxa"/>
        <w:jc w:val="left"/>
        <w:tblInd w:w="200" w:type="dxa"/>
        <w:tblLayout w:type="fixed"/>
        <w:tblCellMar>
          <w:top w:w="0" w:type="dxa"/>
          <w:left w:w="0" w:type="dxa"/>
          <w:bottom w:w="0" w:type="dxa"/>
          <w:right w:w="0" w:type="dxa"/>
        </w:tblCellMar>
      </w:tblPr>
      <w:tblGrid>
        <w:gridCol w:w="294"/>
        <w:gridCol w:w="9511"/>
      </w:tblGrid>
      <w:tr>
        <w:trPr/>
        <w:tc>
          <w:tcPr>
            <w:tcW w:w="29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(6)</w:t>
            </w:r>
          </w:p>
        </w:tc>
        <w:tc>
          <w:tcPr>
            <w:tcW w:w="951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Interest payments on borrowed funds represents an estimate of our annualized interest expense based on borrowings under the Credit Agreement and the 2026 Notes and 2027 Notes. The assumed weighted average interest rate on our total debt outstanding was 7.41%. Assumes we have on average $362 million outstanding under the Credit Agreement and average $240 million in aggregate principal amount of the 2026 Notes and 2027 Notes outstanding. We may borrow additional funds from time to time to make investments to the extent we determine that the economic situation is conducive to doing so. We may also issue additional debt securities or preferred stock, subject to our compliance with applicable requirements under the 1940 Act.</w:t>
            </w:r>
          </w:p>
        </w:tc>
      </w:tr>
    </w:tbl>
    <w:tbl>
      <w:tblPr>
        <w:tblW w:w="9805" w:type="dxa"/>
        <w:jc w:val="left"/>
        <w:tblInd w:w="200" w:type="dxa"/>
        <w:tblLayout w:type="fixed"/>
        <w:tblCellMar>
          <w:top w:w="0" w:type="dxa"/>
          <w:left w:w="0" w:type="dxa"/>
          <w:bottom w:w="0" w:type="dxa"/>
          <w:right w:w="0" w:type="dxa"/>
        </w:tblCellMar>
      </w:tblPr>
      <w:tblGrid>
        <w:gridCol w:w="311"/>
        <w:gridCol w:w="9494"/>
      </w:tblGrid>
      <w:tr>
        <w:trPr/>
        <w:tc>
          <w:tcPr>
            <w:tcW w:w="31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(7)</w:t>
            </w:r>
          </w:p>
        </w:tc>
        <w:tc>
          <w:tcPr>
            <w:tcW w:w="9494" w:type="dxa"/>
            <w:tcBorders/>
            <w:vAlign w:val="center"/>
          </w:tcPr>
          <w:p>
            <w:pPr>
              <w:pStyle w:val="TableContents"/>
              <w:bidi w:val="0"/>
              <w:spacing w:lineRule="auto" w:line="285" w:before="0" w:after="240"/>
              <w:jc w:val="left"/>
              <w:rPr>
                <w:rFonts w:ascii="Aptos" w:hAnsi="Aptos"/>
                <w:sz w:val="24"/>
              </w:rPr>
            </w:pPr>
            <w:r>
              <w:rPr>
                <w:rFonts w:ascii="Times New Roman;Times;serif" w:hAnsi="Times New Roman;Times;serif"/>
                <w:sz w:val="20"/>
              </w:rPr>
              <w:t xml:space="preserve">Includes our overhead expenses, such as payments under the Administration Agreement for certain expenses incurred by the Adviser. See </w:t>
            </w:r>
            <w:r>
              <w:rPr>
                <w:rFonts w:ascii="Aptos" w:hAnsi="Aptos"/>
                <w:sz w:val="24"/>
              </w:rPr>
              <w:t>“</w:t>
            </w:r>
            <w:r>
              <w:rPr>
                <w:rFonts w:ascii="Times New Roman;Times;serif" w:hAnsi="Times New Roman;Times;serif"/>
                <w:i/>
                <w:sz w:val="20"/>
              </w:rPr>
              <w:t>Management and Other Agreements.”</w:t>
            </w:r>
            <w:r>
              <w:rPr>
                <w:rFonts w:ascii="Aptos" w:hAnsi="Aptos"/>
                <w:sz w:val="24"/>
              </w:rPr>
              <w:t xml:space="preserve"> </w:t>
            </w:r>
            <w:r>
              <w:rPr>
                <w:rFonts w:ascii="Times New Roman;Times;serif" w:hAnsi="Times New Roman;Times;serif"/>
                <w:sz w:val="20"/>
              </w:rPr>
              <w:t>We based these expenses on estimated amounts for the current fiscal year.</w:t>
            </w:r>
          </w:p>
        </w:tc>
      </w:tr>
    </w:tbl>
    <w:tbl>
      <w:tblPr>
        <w:tblW w:w="1352" w:type="dxa"/>
        <w:jc w:val="left"/>
        <w:tblInd w:w="200" w:type="dxa"/>
        <w:tblLayout w:type="fixed"/>
        <w:tblCellMar>
          <w:top w:w="0" w:type="dxa"/>
          <w:left w:w="0" w:type="dxa"/>
          <w:bottom w:w="0" w:type="dxa"/>
          <w:right w:w="0" w:type="dxa"/>
        </w:tblCellMar>
      </w:tblPr>
      <w:tblGrid>
        <w:gridCol w:w="346"/>
        <w:gridCol w:w="1006"/>
      </w:tblGrid>
      <w:tr>
        <w:trPr/>
        <w:tc>
          <w:tcPr>
            <w:tcW w:w="34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(8)</w:t>
            </w:r>
          </w:p>
        </w:tc>
        <w:tc>
          <w:tcPr>
            <w:tcW w:w="100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Estimated.</w:t>
            </w:r>
          </w:p>
        </w:tc>
      </w:tr>
    </w:tbl>
    <w:p>
      <w:pPr>
        <w:pStyle w:val="TextBody"/>
        <w:pBdr/>
        <w:bidi w:val="0"/>
        <w:spacing w:lineRule="auto" w:line="328" w:before="0" w:after="160"/>
        <w:ind w:left="200" w:right="200" w:hanging="360"/>
        <w:jc w:val="left"/>
        <w:rPr/>
      </w:pPr>
      <w:r>
        <w:rPr/>
        <w:t>​</w:t>
      </w:r>
    </w:p>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Example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Transaction expenses are included in the following example.</w:t>
      </w:r>
    </w:p>
    <w:p>
      <w:pPr>
        <w:pStyle w:val="TextBody"/>
        <w:bidi w:val="0"/>
        <w:spacing w:lineRule="auto" w:line="328" w:before="0" w:after="160"/>
        <w:ind w:left="200" w:right="200" w:hanging="0"/>
        <w:jc w:val="left"/>
        <w:rPr/>
      </w:pPr>
      <w:bookmarkStart w:id="94" w:name="Tc_OdM_MhSyJkSDzR-2ieGatg_1_11"/>
      <w:bookmarkStart w:id="95" w:name="Tc_z2ZicrFSikGpEKQERnK4_Q_1_8"/>
      <w:bookmarkStart w:id="96" w:name="Tc_6kR_jIv9kESMYJxiTgcNHg_1_5"/>
      <w:bookmarkStart w:id="97" w:name="Tc_QstNWZI8QUagkmQyh0n_4Q_1_2"/>
      <w:bookmarkStart w:id="98" w:name="Tc_R0vJ6V0i-0eluUQX1YP_7w_1_0"/>
      <w:bookmarkStart w:id="99" w:name="Tc_iQZAdyzn50i1Mug5g9WiyQ_0_11"/>
      <w:bookmarkStart w:id="100" w:name="Tc_-r7ryUlMiESZKkkF7eLl_w_0_8"/>
      <w:bookmarkStart w:id="101" w:name="Tc_5Dff-of3WkW9pQDJdjFIwQ_0_5"/>
      <w:bookmarkStart w:id="102" w:name="Tc_OPQm2k_i7kOve6Lx8CLB_w_0_2"/>
      <w:bookmarkEnd w:id="94"/>
      <w:bookmarkEnd w:id="95"/>
      <w:bookmarkEnd w:id="96"/>
      <w:bookmarkEnd w:id="97"/>
      <w:bookmarkEnd w:id="98"/>
      <w:bookmarkEnd w:id="99"/>
      <w:bookmarkEnd w:id="100"/>
      <w:bookmarkEnd w:id="101"/>
      <w:bookmarkEnd w:id="102"/>
      <w:r>
        <w:rPr/>
        <w:t>​</w:t>
      </w:r>
    </w:p>
    <w:tbl>
      <w:tblPr>
        <w:tblW w:w="9805" w:type="dxa"/>
        <w:jc w:val="left"/>
        <w:tblInd w:w="200" w:type="dxa"/>
        <w:tblLayout w:type="fixed"/>
        <w:tblCellMar>
          <w:top w:w="0" w:type="dxa"/>
          <w:left w:w="0" w:type="dxa"/>
          <w:bottom w:w="0" w:type="dxa"/>
          <w:right w:w="0" w:type="dxa"/>
        </w:tblCellMar>
      </w:tblPr>
      <w:tblGrid>
        <w:gridCol w:w="5638"/>
        <w:gridCol w:w="346"/>
        <w:gridCol w:w="211"/>
        <w:gridCol w:w="421"/>
        <w:gridCol w:w="346"/>
        <w:gridCol w:w="211"/>
        <w:gridCol w:w="421"/>
        <w:gridCol w:w="346"/>
        <w:gridCol w:w="211"/>
        <w:gridCol w:w="421"/>
        <w:gridCol w:w="346"/>
        <w:gridCol w:w="211"/>
        <w:gridCol w:w="676"/>
      </w:tblGrid>
      <w:tr>
        <w:trPr/>
        <w:tc>
          <w:tcPr>
            <w:tcW w:w="56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r>
      <w:tr>
        <w:trPr/>
        <w:tc>
          <w:tcPr>
            <w:tcW w:w="5638"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3 years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5 years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10 years</w:t>
            </w:r>
          </w:p>
        </w:tc>
      </w:tr>
      <w:tr>
        <w:trPr/>
        <w:tc>
          <w:tcPr>
            <w:tcW w:w="5638"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You would pay the following expenses on a $1,000 investment, assuming a 5% annual return from realized capital gains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tcBorders>
            <w:shd w:fill="CCEEFF" w:val="clear"/>
            <w:tcMar>
              <w:top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1,026</w:t>
            </w:r>
          </w:p>
        </w:tc>
      </w:tr>
    </w:tbl>
    <w:p>
      <w:pPr>
        <w:pStyle w:val="TextBody"/>
        <w:bidi w:val="0"/>
        <w:spacing w:lineRule="auto" w:line="328" w:before="0" w:after="160"/>
        <w:ind w:left="200" w:right="200" w:hanging="0"/>
        <w:jc w:val="left"/>
        <w:rPr/>
      </w:pPr>
      <w:r>
        <w:rPr/>
        <w: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Incentive Fee under the Advisory Agreement is unlikely to be significant assuming a 5% annual return, the example assumes that the 5% annual return will be generated entirely through the realization of capital gains on our assets and, as a result, will trigger the payment of the Capital Gains Fee under the Advisory Agreement. The Income Incentive Fee under the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Income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 determined by dividing the total dollar amount of the dividend payable to a participant by the market price per share of our common stock at the close of trading on the valuation date for the dividend. See </w:t>
      </w:r>
      <w:r>
        <w:rPr>
          <w:rFonts w:ascii="Aptos" w:hAnsi="Aptos"/>
          <w:sz w:val="20"/>
        </w:rPr>
        <w:t>“</w:t>
      </w:r>
      <w:r>
        <w:rPr>
          <w:rFonts w:ascii="Times New Roman;Times;serif" w:hAnsi="Times New Roman;Times;serif"/>
          <w:i/>
          <w:sz w:val="20"/>
        </w:rPr>
        <w:t>Dividend Reinvestment Plan”</w:t>
      </w:r>
      <w:r>
        <w:rPr>
          <w:rFonts w:ascii="Aptos" w:hAnsi="Aptos"/>
          <w:sz w:val="20"/>
        </w:rPr>
        <w:t xml:space="preserve"> </w:t>
      </w:r>
      <w:r>
        <w:rPr>
          <w:rFonts w:ascii="Times New Roman;Times;serif" w:hAnsi="Times New Roman;Times;serif"/>
          <w:sz w:val="20"/>
        </w:rPr>
        <w:t>for additional information regarding our dividend reinvestment plan.</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103" w:name="FINANCIALHIGHLIGHTS_619969"/>
      <w:bookmarkStart w:id="104" w:name="_f54ed803_025c_4192_bbe6_8ee39cd74f65"/>
      <w:bookmarkEnd w:id="103"/>
      <w:bookmarkEnd w:id="104"/>
      <w:r>
        <w:rPr>
          <w:rFonts w:ascii="Times New Roman;Times;serif" w:hAnsi="Times New Roman;Times;serif"/>
          <w:b/>
          <w:sz w:val="20"/>
        </w:rPr>
        <w:t>FINANCIAL HIGHLIGHTS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Information regarding our financial highlights is incorporated by reference herein from our most recent Annual Report on Form 10-K and our most recent Quarterly Report on Form 10-Q.</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105" w:name="SELECTEDFINANCIALINFORMATIONANDOTHERDATA"/>
      <w:bookmarkStart w:id="106" w:name="_a4f1428e_916f_48eb_bac6_3bf21f57932e"/>
      <w:bookmarkEnd w:id="105"/>
      <w:bookmarkEnd w:id="106"/>
      <w:r>
        <w:rPr>
          <w:rFonts w:ascii="Times New Roman;Times;serif" w:hAnsi="Times New Roman;Times;serif"/>
          <w:b/>
          <w:sz w:val="20"/>
        </w:rPr>
        <w:t>SELECTED FINANCIAL INFORMATION AND OTHER DATA</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The information in “</w:t>
      </w:r>
      <w:r>
        <w:rPr>
          <w:rFonts w:ascii="Times New Roman;Times;serif" w:hAnsi="Times New Roman;Times;serif"/>
          <w:i/>
          <w:sz w:val="20"/>
        </w:rPr>
        <w:t>Item 8. Consolidated Financial Statements and Supplementary Data</w:t>
      </w:r>
      <w:r>
        <w:rPr>
          <w:rFonts w:ascii="Times New Roman;Times;serif" w:hAnsi="Times New Roman;Times;serif"/>
          <w:sz w:val="20"/>
        </w:rPr>
        <w:t>,” including the financial notes related thereto, of our most recent Annual Report on Form 10-K, and in “</w:t>
      </w:r>
      <w:r>
        <w:rPr>
          <w:rFonts w:ascii="Times New Roman;Times;serif" w:hAnsi="Times New Roman;Times;serif"/>
          <w:i/>
          <w:sz w:val="20"/>
        </w:rPr>
        <w:t>Item 1. Consolidated Statements of Assets and Liabilities</w:t>
      </w:r>
      <w:r>
        <w:rPr>
          <w:rFonts w:ascii="Aptos" w:hAnsi="Aptos"/>
          <w:sz w:val="20"/>
        </w:rPr>
        <w:t xml:space="preserve">” </w:t>
      </w:r>
      <w:r>
        <w:rPr>
          <w:rFonts w:ascii="Times New Roman;Times;serif" w:hAnsi="Times New Roman;Times;serif"/>
          <w:sz w:val="20"/>
        </w:rPr>
        <w:t>and “</w:t>
      </w:r>
      <w:r>
        <w:rPr>
          <w:rFonts w:ascii="Times New Roman;Times;serif" w:hAnsi="Times New Roman;Times;serif"/>
          <w:i/>
          <w:sz w:val="20"/>
        </w:rPr>
        <w:t>Item 1. Consolidated Statements of Operations</w:t>
      </w:r>
      <w:r>
        <w:rPr>
          <w:rFonts w:ascii="Times New Roman;Times;serif" w:hAnsi="Times New Roman;Times;serif"/>
          <w:sz w:val="20"/>
        </w:rPr>
        <w:t>,” including the financial notes related thereto, of our most recent Quarterly Report on Form 10-Q are incorporated by reference herein.</w:t>
      </w:r>
    </w:p>
    <w:p>
      <w:pPr>
        <w:pStyle w:val="TextBody"/>
        <w:bidi w:val="0"/>
        <w:spacing w:lineRule="auto" w:line="328" w:before="0" w:after="160"/>
        <w:ind w:left="200" w:right="200" w:hanging="0"/>
        <w:jc w:val="left"/>
        <w:rPr/>
      </w:pPr>
      <w:r>
        <w:rPr/>
        <w:t>​</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107" w:name="RISKFACTORS_658759"/>
      <w:bookmarkStart w:id="108" w:name="_2bf88267_7727_4136_b248_cfe152b99c21"/>
      <w:bookmarkEnd w:id="107"/>
      <w:bookmarkEnd w:id="108"/>
      <w:r>
        <w:rPr>
          <w:rFonts w:ascii="Times New Roman;Times;serif" w:hAnsi="Times New Roman;Times;serif"/>
          <w:b/>
          <w:sz w:val="20"/>
        </w:rPr>
        <w:t>RISK FACTORS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related free writing prospectus we may authorize in connection with a specific offering, “</w:t>
      </w:r>
      <w:r>
        <w:rPr>
          <w:rFonts w:ascii="Times New Roman;Times;serif" w:hAnsi="Times New Roman;Times;serif"/>
          <w:i/>
          <w:sz w:val="20"/>
        </w:rPr>
        <w:t>Part I, Item IA. Risk Factors</w:t>
      </w:r>
      <w:r>
        <w:rPr>
          <w:rFonts w:ascii="Aptos" w:hAnsi="Aptos"/>
          <w:sz w:val="20"/>
        </w:rPr>
        <w:t xml:space="preserve">” </w:t>
      </w:r>
      <w:r>
        <w:rPr>
          <w:rFonts w:ascii="Times New Roman;Times;serif" w:hAnsi="Times New Roman;Times;serif"/>
          <w:sz w:val="20"/>
        </w:rPr>
        <w:t>in our most recent Annual Report on Form 10-K, which is incorporated by reference herein in their entirety, “</w:t>
      </w:r>
      <w:r>
        <w:rPr>
          <w:rFonts w:ascii="Times New Roman;Times;serif" w:hAnsi="Times New Roman;Times;serif"/>
          <w:i/>
          <w:sz w:val="20"/>
        </w:rPr>
        <w:t>Part II, Item 1A. Risk Factors</w:t>
      </w:r>
      <w:r>
        <w:rPr>
          <w:rFonts w:ascii="Aptos" w:hAnsi="Aptos"/>
          <w:sz w:val="20"/>
        </w:rPr>
        <w:t xml:space="preserve">” </w:t>
      </w:r>
      <w:r>
        <w:rPr>
          <w:rFonts w:ascii="Times New Roman;Times;serif" w:hAnsi="Times New Roman;Times;serif"/>
          <w:sz w:val="20"/>
        </w:rPr>
        <w:t>in our most recent Quarterly Report on Form 10-Q, which is incorporated by reference herein in their entirety, and any document incorporated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business, operations and performance. If any of the following events occur, our business, financial condition and results of operations could be materially and adversely affected. In such case, you may lose all or part of your investment. Please also read carefully the section titled “</w:t>
      </w:r>
      <w:r>
        <w:rPr>
          <w:rFonts w:ascii="Times New Roman;Times;serif" w:hAnsi="Times New Roman;Times;serif"/>
          <w:i/>
          <w:sz w:val="20"/>
        </w:rPr>
        <w:t>Special Note Regarding Forward-Looking Statements</w:t>
      </w:r>
      <w:r>
        <w:rPr>
          <w:rFonts w:ascii="Times New Roman;Times;serif" w:hAnsi="Times New Roman;Times;serif"/>
          <w:sz w:val="20"/>
        </w:rPr>
        <w:t>.”</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109" w:name="SPECIALNOTEREGARDINGFORWARDLOOKINGSTATEM"/>
      <w:bookmarkStart w:id="110" w:name="_b9e1dd4e_efd1_4ef6_a05f_3c13d38603da"/>
      <w:bookmarkEnd w:id="109"/>
      <w:bookmarkEnd w:id="110"/>
      <w:r>
        <w:rPr>
          <w:rFonts w:ascii="Times New Roman;Times;serif" w:hAnsi="Times New Roman;Times;serif"/>
          <w:b/>
          <w:sz w:val="20"/>
        </w:rPr>
        <w:t>SPECIAL NOTE REGARDING FORWARD-LOOKING STATEMENTS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any accompanying prospectus supplement, any related free writing prospectus and any documents we may incorporate by reference herein contain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political, economic or industry conditions, the interest rate environment or conditions affecting the financial and capital markets;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economic downturn or recession could impair our portfolio companies’ ability to continue to operate, which could lead to the loss of some or all of our investments in such portfolio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such an economic downturn could disproportionately impact the companies that we intend to target for investment, potentially causing us to experience a decrease in investment opportunities and diminished demand for capital from these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contraction of available credit and/or an inability to access the equity markets that could impair our lending and investment activities;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interest rate volatility that could adversely affect our results, particularly to the extent that we use leverage as part of our investment strategy;</w:t>
            </w:r>
          </w:p>
        </w:tc>
      </w:tr>
    </w:tbl>
    <w:tbl>
      <w:tblPr>
        <w:tblW w:w="9591" w:type="dxa"/>
        <w:jc w:val="left"/>
        <w:tblInd w:w="20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impact of interest and inflation rates on our business prospects and the prospects of our portfolio companies;</w:t>
            </w:r>
          </w:p>
        </w:tc>
      </w:tr>
    </w:tbl>
    <w:tbl>
      <w:tblPr>
        <w:tblW w:w="6006" w:type="dxa"/>
        <w:jc w:val="left"/>
        <w:tblInd w:w="20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business prospects and the prospects of our portfolio companies</w:t>
            </w:r>
          </w:p>
        </w:tc>
      </w:tr>
    </w:tbl>
    <w:tbl>
      <w:tblPr>
        <w:tblW w:w="5811" w:type="dxa"/>
        <w:jc w:val="left"/>
        <w:tblInd w:w="20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contractual arrangements and relationships with third parties;</w:t>
            </w:r>
          </w:p>
        </w:tc>
      </w:tr>
    </w:tbl>
    <w:tbl>
      <w:tblPr>
        <w:tblW w:w="5826" w:type="dxa"/>
        <w:jc w:val="left"/>
        <w:tblInd w:w="20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our portfolio companies to achieve their objectives;</w:t>
            </w:r>
          </w:p>
        </w:tc>
      </w:tr>
    </w:tbl>
    <w:tbl>
      <w:tblPr>
        <w:tblW w:w="6861" w:type="dxa"/>
        <w:jc w:val="left"/>
        <w:tblInd w:w="20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competition with other entities and our affiliates for investment opportunities;</w:t>
            </w:r>
          </w:p>
        </w:tc>
      </w:tr>
    </w:tbl>
    <w:tbl>
      <w:tblPr>
        <w:tblW w:w="4926" w:type="dxa"/>
        <w:jc w:val="left"/>
        <w:tblInd w:w="20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speculative and illiquid nature of our investments;</w:t>
            </w:r>
          </w:p>
        </w:tc>
      </w:tr>
    </w:tbl>
    <w:tbl>
      <w:tblPr>
        <w:tblW w:w="5961" w:type="dxa"/>
        <w:jc w:val="left"/>
        <w:tblInd w:w="20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use of borrowed money to finance a portion of our investments;</w:t>
            </w:r>
          </w:p>
        </w:tc>
      </w:tr>
    </w:tbl>
    <w:tbl>
      <w:tblPr>
        <w:tblW w:w="5331" w:type="dxa"/>
        <w:jc w:val="left"/>
        <w:tblInd w:w="20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adequacy of our financing sources and working capital;</w:t>
            </w:r>
          </w:p>
        </w:tc>
      </w:tr>
    </w:tbl>
    <w:tbl>
      <w:tblPr>
        <w:tblW w:w="5751" w:type="dxa"/>
        <w:jc w:val="left"/>
        <w:tblInd w:w="20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loss of key personnel and members of our management team;</w:t>
            </w:r>
          </w:p>
        </w:tc>
      </w:tr>
    </w:tbl>
    <w:tbl>
      <w:tblPr>
        <w:tblW w:w="6891" w:type="dxa"/>
        <w:jc w:val="left"/>
        <w:tblInd w:w="20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timing of cash flows, if any, from the operations of our portfolio companies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our external investment adviser, Runway Growth Capital LLC, to locate suitable investments for us and to monitor and administer our investments;</w:t>
            </w:r>
          </w:p>
        </w:tc>
      </w:tr>
    </w:tbl>
    <w:tbl>
      <w:tblPr>
        <w:tblW w:w="8091" w:type="dxa"/>
        <w:jc w:val="left"/>
        <w:tblInd w:w="20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ability of Runway Growth Capital LLC to attract and retain highly talented professionals;</w:t>
            </w:r>
          </w:p>
        </w:tc>
      </w:tr>
    </w:tbl>
    <w:tbl>
      <w:tblPr>
        <w:tblW w:w="9396" w:type="dxa"/>
        <w:jc w:val="left"/>
        <w:tblInd w:w="20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our ability to qualify and maintain our qualification as a RIC under Subchapter M of the Code, and as a BDC;</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occurrence of a disaster, such as a cyber-attack against us or against a third party that has access to our data or networks, a natural catastrophe, an industrial accident, failure of our disaster-recovery systems, or consequential employee error;</w:t>
            </w:r>
          </w:p>
        </w:tc>
      </w:tr>
    </w:tbl>
    <w:tbl>
      <w:tblPr>
        <w:tblW w:w="4671" w:type="dxa"/>
        <w:jc w:val="left"/>
        <w:tblInd w:w="20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effect of legal, tax, and regulatory changes;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other risks, uncertainties and other factors we identify under “Risk Factors” in Part I, Item 1A of our most recent Annual Report on Form 10-K and in our other filings with the SEC.</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prospectus, the prospectus supplement, any documents we may incorporate by reference herein, and any related free writing prospectus should not be regarded as a representation by us that our plans and objectives will be achieved. These forward-looking statements apply only as of the dates of this prospectus, the prospectus supplement, any documents we may incorporate by reference herein, and any related free writing prospectus. Moreover, we assume no duty and do not undertake to update the forward-looking statements. Because we are an investment company, the forward-looking statements and projections contained in this prospectus are excluded from the safe harbor protection provided by Section 21E of the Exchange Act.</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111" w:name="USEOFPROCEEDS_588465"/>
      <w:bookmarkStart w:id="112" w:name="_9c227d99_cde4_4483_bb11_ff60e6645cad"/>
      <w:bookmarkEnd w:id="111"/>
      <w:bookmarkEnd w:id="112"/>
      <w:r>
        <w:rPr>
          <w:rFonts w:ascii="Times New Roman;Times;serif" w:hAnsi="Times New Roman;Times;serif"/>
          <w:b/>
          <w:sz w:val="20"/>
        </w:rPr>
        <w:t>USE OF PROCEEDS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Unless otherwise specified in any applicable prospectus supplement or in any free writing prospectus we have authorized for use in connection with a specific offering, we intend to use the net proceeds from the sale of our securities pursuant to this prospectus for general corporate purposes, which may include, among other things, investing in accordance with our investment objective and strategy, repayment of any outstanding indebtedness, paying operating expenses and other general corporate purposes.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anticipate that substantially all of the net proceeds of an offering of securities pursuant to this prospectus and any applicable prospectus supplement or free writing prospectus will be used for the above purposes within three months of any such offering, depending on the availability of appropriate investment opportunities consistent with our investment objective, but no longer than within six months of any such offerings.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Pending such uses and investments, we intend to invest any net proceeds from an offering primarily in cash, cash equivalents, U.S. government securities and other high-quality investment grade investments that mature in one year or less from the date of investment. The income we earn on such temporary investments generally will be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113" w:name="PRICERANGEOFCOMMONSTOCKANDDISTRIBUTIONS_"/>
      <w:bookmarkStart w:id="114" w:name="_bd499c3c_3d1c_496e_9f69_cd60b7f8852f"/>
      <w:bookmarkEnd w:id="113"/>
      <w:bookmarkEnd w:id="114"/>
      <w:r>
        <w:rPr>
          <w:rFonts w:ascii="Times New Roman;Times;serif" w:hAnsi="Times New Roman;Times;serif"/>
          <w:b/>
          <w:sz w:val="20"/>
        </w:rPr>
        <w:t>PRICE RANGE OF COMMON STOCK AND DISTRIBUTIONS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Our common stock began trading on the Nasdaq Global Select Market (“Nasdaq”) on October 21, 2021, under the symbol “RWAY” in connection with our initial public offering of shares of our common stock. See “</w:t>
      </w:r>
      <w:r>
        <w:rPr>
          <w:rFonts w:ascii="Times New Roman;Times;serif" w:hAnsi="Times New Roman;Times;serif"/>
          <w:i/>
          <w:sz w:val="20"/>
        </w:rPr>
        <w:t>Management’s Discussion and Analysis of Financial Condition and Results of Operations</w:t>
      </w:r>
      <w:r>
        <w:rPr>
          <w:rFonts w:ascii="Aptos" w:hAnsi="Aptos"/>
          <w:sz w:val="20"/>
        </w:rPr>
        <w:t xml:space="preserve">” </w:t>
      </w:r>
      <w:r>
        <w:rPr>
          <w:rFonts w:ascii="Times New Roman;Times;serif" w:hAnsi="Times New Roman;Times;serif"/>
          <w:sz w:val="20"/>
        </w:rPr>
        <w:t>of our most recent Annual Report on Form 10-K. Shares of BDCs may trade at a market price that is less than the value of the net assets attributable to those shares. The possibility that our shares of common stock will trade at a discount from net asset value (“NAV”) per share or at premiums that are unsustainable over the long term are separate and distinct from the risk that our NAV per share will decrease. It is not possible to predict whether our common stock will trade at, above, or below NAV per share. See “</w:t>
      </w:r>
      <w:r>
        <w:rPr>
          <w:rFonts w:ascii="Times New Roman;Times;serif" w:hAnsi="Times New Roman;Times;serif"/>
          <w:i/>
          <w:sz w:val="20"/>
        </w:rPr>
        <w:t>Item 1A. Risk Factors—Risks Related to an Investment in Our Common Stock</w:t>
      </w:r>
      <w:r>
        <w:rPr>
          <w:rFonts w:ascii="Aptos" w:hAnsi="Aptos"/>
          <w:sz w:val="20"/>
        </w:rPr>
        <w:t xml:space="preserve">” </w:t>
      </w:r>
      <w:r>
        <w:rPr>
          <w:rFonts w:ascii="Times New Roman;Times;serif" w:hAnsi="Times New Roman;Times;serif"/>
          <w:sz w:val="20"/>
        </w:rPr>
        <w:t>in our most recent annual report on Form 10-K. On March 17, 2025, the last reported closing sales price of our common stock on the Nasdaq was $10.89</w:t>
      </w:r>
      <w:r>
        <w:rPr>
          <w:rFonts w:ascii="Aptos" w:hAnsi="Aptos"/>
          <w:sz w:val="20"/>
        </w:rPr>
        <w:t xml:space="preserve"> </w:t>
      </w:r>
      <w:r>
        <w:rPr>
          <w:rFonts w:ascii="Times New Roman;Times;serif" w:hAnsi="Times New Roman;Times;serif"/>
          <w:sz w:val="20"/>
        </w:rPr>
        <w:t>per share, which represented a discount of approximately 18.7%</w:t>
      </w:r>
      <w:r>
        <w:rPr>
          <w:rFonts w:ascii="Aptos" w:hAnsi="Aptos"/>
          <w:sz w:val="20"/>
        </w:rPr>
        <w:t xml:space="preserve"> </w:t>
      </w:r>
      <w:r>
        <w:rPr>
          <w:rFonts w:ascii="Times New Roman;Times;serif" w:hAnsi="Times New Roman;Times;serif"/>
          <w:sz w:val="20"/>
        </w:rPr>
        <w:t>to our NAV per share of $13.39</w:t>
      </w:r>
      <w:r>
        <w:rPr>
          <w:rFonts w:ascii="Aptos" w:hAnsi="Aptos"/>
          <w:sz w:val="20"/>
        </w:rPr>
        <w:t xml:space="preserve"> </w:t>
      </w:r>
      <w:r>
        <w:rPr>
          <w:rFonts w:ascii="Times New Roman;Times;serif" w:hAnsi="Times New Roman;Times;serif"/>
          <w:sz w:val="20"/>
        </w:rPr>
        <w:t>as of September 30, 2024.</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Prior to our initial public offering, the shares of our common stock were offered and sold in transactions exempt from registration under the Securities Act.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sets forth the most recent fiscal quarter’s NAV per share of our common stock, the high and low closing sales prices of our common stock, such sales prices as a percentage of NAV per share and quarterly distribution per share.</w:t>
      </w:r>
    </w:p>
    <w:p>
      <w:pPr>
        <w:pStyle w:val="TextBody"/>
        <w:bidi w:val="0"/>
        <w:spacing w:lineRule="auto" w:line="328" w:before="0" w:after="160"/>
        <w:ind w:left="200" w:right="200" w:hanging="0"/>
        <w:jc w:val="left"/>
        <w:rPr/>
      </w:pPr>
      <w:bookmarkStart w:id="115" w:name="Tc_-ZVXSPf1nEeGWL_CR87HxA_22_16"/>
      <w:bookmarkStart w:id="116" w:name="Tc_JZMRnXUUOkyFNZkqLIVMgQ_22_0"/>
      <w:bookmarkStart w:id="117" w:name="Tc_hAWbYEUON0mcwbmQXgwWRA_21_16"/>
      <w:bookmarkStart w:id="118" w:name="Tc_7JbECQyEHkeucq-lcF5htQ_21_0"/>
      <w:bookmarkStart w:id="119" w:name="Tc_oFhtUBr56ESNIpaLe9-BfA_20_16"/>
      <w:bookmarkStart w:id="120" w:name="Tc_DubKPWp6rEq5WkINvfKH4w_20_0"/>
      <w:bookmarkStart w:id="121" w:name="Tc_Zk__bH3xx0-ggfXFEcseVA_19_16"/>
      <w:bookmarkStart w:id="122" w:name="Tc_MLZTSYIDOkyVcVVf2Q9qSw_19_0"/>
      <w:bookmarkStart w:id="123" w:name="Tc__NyJYSQDCkaExRP2-QJvkg_18_0"/>
      <w:bookmarkStart w:id="124" w:name="Tc_cXGD02dfH0WSJdMRyQU2_w_17_16"/>
      <w:bookmarkStart w:id="125" w:name="Tc_FPCcXE6sTEaUwfFpFtpcyw_17_0"/>
      <w:bookmarkStart w:id="126" w:name="Tc_OmWaFXsbwUW3zZKuxg7n9A_16_16"/>
      <w:bookmarkStart w:id="127" w:name="Tc_d04zRezza02sbXJLOVFAwg_16_0"/>
      <w:bookmarkStart w:id="128" w:name="Tc_wpiwh1okF0yNN9JOJYLlBA_15_16"/>
      <w:bookmarkStart w:id="129" w:name="Tc_vj1_U5MyT0q4Wx_jzmTpVw_15_0"/>
      <w:bookmarkStart w:id="130" w:name="Tc_RTINxYna00WvGICBOOeYDQ_14_16"/>
      <w:bookmarkStart w:id="131" w:name="Tc_J-h7qIvFZEWBi8S5O7_7qg_14_0"/>
      <w:bookmarkStart w:id="132" w:name="Tc__mGnIDGfakO3fRdPY-LKQw_13_0"/>
      <w:bookmarkStart w:id="133" w:name="Tc_Dch3oQMDjUOYGO5XiSIuew_12_16"/>
      <w:bookmarkStart w:id="134" w:name="Tc_FBJrtkdEaUKvQDlLnkH3JA_12_0"/>
      <w:bookmarkStart w:id="135" w:name="Tc_VM6__G07i0OZ26_AU3dkdg_11_16"/>
      <w:bookmarkStart w:id="136" w:name="Tc___w25diNokWg-uAmXBCt-w_11_0"/>
      <w:bookmarkStart w:id="137" w:name="Tc_K2_tRHkN_0CyQj6C0Qw-Ug_10_16"/>
      <w:bookmarkStart w:id="138" w:name="Tc_EWkmzatFBkydLRwe_2vm2Q_10_0"/>
      <w:bookmarkStart w:id="139" w:name="Tc_-7LI2aA18kGwqCLlONhYvw_9_16"/>
      <w:bookmarkStart w:id="140" w:name="Tc_X5MFDa1fo06zuehUHzECVQ_9_13"/>
      <w:bookmarkStart w:id="141" w:name="Tc_TeASuo0ap0O2ukfCuWRJWg_9_11"/>
      <w:bookmarkStart w:id="142" w:name="Tc_-xLz1IfuJU2vysB2SvvT3g_9_3"/>
      <w:bookmarkStart w:id="143" w:name="Tc_98MNXXiSzkuSx_QhAUTpIA_9_0"/>
      <w:bookmarkStart w:id="144" w:name="Tc__qlY05BSUUGBBF171Y9BRg_8_0"/>
      <w:bookmarkStart w:id="145" w:name="Tc_hbPjEhJVNkKp3cY0xkaWKA_7_16"/>
      <w:bookmarkStart w:id="146" w:name="Tc_bWpmWP46f0yJ6JVZU0ocyw_7_15"/>
      <w:bookmarkStart w:id="147" w:name="Tc_tLwLfrZAxE6tM7kkHymuZw_7_14"/>
      <w:bookmarkStart w:id="148" w:name="Tc_rxgtiHrD_06QgzasHPsdvA_7_13"/>
      <w:bookmarkStart w:id="149" w:name="Tc_TAl2c4OO7EyMMJtifTjIRA_7_12"/>
      <w:bookmarkStart w:id="150" w:name="Tc_uv9xSSFyaUuvTbvM-Qrs_w_7_11"/>
      <w:bookmarkStart w:id="151" w:name="Tc_CLySkYYIrEGWDfE46lvlug_7_8"/>
      <w:bookmarkStart w:id="152" w:name="Tc_v0kjLBFIh0OPWhx5J7egvw_7_5"/>
      <w:bookmarkStart w:id="153" w:name="Tc_uoWe6DzEGEulvERYIC_21w_7_3"/>
      <w:bookmarkStart w:id="154" w:name="Tc_lyqJI3yVcEWnIld_CrGCCw_7_2"/>
      <w:bookmarkStart w:id="155" w:name="Tc_iUbNh0yC6E-yQclDIpzwHg_7_0"/>
      <w:bookmarkStart w:id="156" w:name="Tc_3bxgVsZeoU23TYNkQV0Dng_6_0"/>
      <w:bookmarkStart w:id="157" w:name="Tc_aeeAL3cnGk2SUM8WYPSPkQ_5_15"/>
      <w:bookmarkStart w:id="158" w:name="Tc_QAbc7Gg3U0OSwI3wukKt5A_5_13"/>
      <w:bookmarkStart w:id="159" w:name="Tc_kfje3bOL50eRaGL_5sAKmQ_5_11"/>
      <w:bookmarkStart w:id="160" w:name="Tc_VL97PGhdLU66uCIwx7Z8WQ_5_8"/>
      <w:bookmarkStart w:id="161" w:name="Tc_AVJ4jtKsakWJP08kni9EPA_5_5"/>
      <w:bookmarkStart w:id="162" w:name="Tc_8ChXhzQT1kOtLy3Y0quDNQ_5_2"/>
      <w:bookmarkStart w:id="163" w:name="Tc_SYZnMHR3iUeOkADIb65Jig_5_0"/>
      <w:bookmarkStart w:id="164" w:name="Tc_i6WiSxcqfUGp2nkZBMH4Dg_4_15"/>
      <w:bookmarkStart w:id="165" w:name="Tc_5BfZhHYsfU-17y9CJ0ST0g_4_13"/>
      <w:bookmarkStart w:id="166" w:name="Tc_Msmg3Hj-NEitPH7Gsq1GRQ_4_11"/>
      <w:bookmarkStart w:id="167" w:name="Tc_-wKH9CWRfU-gnXVxphkwtA_4_5"/>
      <w:bookmarkStart w:id="168" w:name="Tc_Vd2Fk3O7SEOJR-gpe4LqqQ_4_2"/>
      <w:bookmarkStart w:id="169" w:name="Tc_rlREAFGsv0y38IBoR_elKA_3_15"/>
      <w:bookmarkStart w:id="170" w:name="Tc_n8ypZVOrS0a884AJxxiPlA_3_13"/>
      <w:bookmarkStart w:id="171" w:name="Tc_E_u_nqPJ2E-fqr7xzvkMgQ_3_11"/>
      <w:bookmarkStart w:id="172" w:name="Tc_j7fmibW_LEuXHiBOxRWAsQ_3_2"/>
      <w:bookmarkStart w:id="173" w:name="Tc_qTMCUNzTR0ypmOZfnxwazA_2_13"/>
      <w:bookmarkStart w:id="174" w:name="Tc_-jlqaDTW-0-Xm-lsxrId8Q_2_11"/>
      <w:bookmarkStart w:id="175" w:name="Tc_bI2uc4RSfkupZRbTQvv2Lg_1_13"/>
      <w:bookmarkStart w:id="176" w:name="Tc_hLsaXFk0xUOep08btPnjsg_1_11"/>
      <w:bookmarkStart w:id="177" w:name="Tc_q_hc-ibUPUmN9cZlj8lM6g_0_13"/>
      <w:bookmarkStart w:id="178" w:name="Tc_OzhOAkzkS0iYlyuVuyMP-w_0_11"/>
      <w:bookmarkStart w:id="179" w:name="_f67ee8a2_f001_4df6_9441_61c711b252e9"/>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t>​</w:t>
      </w:r>
    </w:p>
    <w:tbl>
      <w:tblPr>
        <w:tblW w:w="9805" w:type="dxa"/>
        <w:jc w:val="left"/>
        <w:tblInd w:w="200" w:type="dxa"/>
        <w:tblLayout w:type="fixed"/>
        <w:tblCellMar>
          <w:top w:w="0" w:type="dxa"/>
          <w:left w:w="0" w:type="dxa"/>
          <w:bottom w:w="0" w:type="dxa"/>
          <w:right w:w="0" w:type="dxa"/>
        </w:tblCellMar>
      </w:tblPr>
      <w:tblGrid>
        <w:gridCol w:w="2365"/>
        <w:gridCol w:w="346"/>
        <w:gridCol w:w="211"/>
        <w:gridCol w:w="563"/>
        <w:gridCol w:w="346"/>
        <w:gridCol w:w="211"/>
        <w:gridCol w:w="563"/>
        <w:gridCol w:w="346"/>
        <w:gridCol w:w="211"/>
        <w:gridCol w:w="563"/>
        <w:gridCol w:w="346"/>
        <w:gridCol w:w="1051"/>
        <w:gridCol w:w="361"/>
        <w:gridCol w:w="1051"/>
        <w:gridCol w:w="361"/>
        <w:gridCol w:w="249"/>
        <w:gridCol w:w="661"/>
      </w:tblGrid>
      <w:tr>
        <w:trPr/>
        <w:tc>
          <w:tcPr>
            <w:tcW w:w="23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hanging="0"/>
              <w:jc w:val="left"/>
              <w:rPr>
                <w:sz w:val="4"/>
                <w:szCs w:val="4"/>
              </w:rPr>
            </w:pPr>
            <w:r>
              <w:rPr>
                <w:sz w:val="4"/>
                <w:szCs w:val="4"/>
              </w:rPr>
            </w:r>
          </w:p>
        </w:tc>
      </w:tr>
      <w:tr>
        <w:trPr/>
        <w:tc>
          <w:tcPr>
            <w:tcW w:w="236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74" w:type="dxa"/>
            <w:gridSpan w:val="2"/>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74" w:type="dxa"/>
            <w:gridSpan w:val="2"/>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74" w:type="dxa"/>
            <w:gridSpan w:val="2"/>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High Sale</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Low Sale</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c>
          <w:tcPr>
            <w:tcW w:w="91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36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4" w:type="dxa"/>
            <w:gridSpan w:val="2"/>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4" w:type="dxa"/>
            <w:gridSpan w:val="2"/>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4" w:type="dxa"/>
            <w:gridSpan w:val="2"/>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61"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61" w:type="dxa"/>
            <w:tcBorders/>
            <w:vAlign w:val="center"/>
          </w:tcPr>
          <w:p>
            <w:pPr>
              <w:pStyle w:val="TableContents"/>
              <w:bidi w:val="0"/>
              <w:spacing w:lineRule="auto" w:line="328" w:before="0" w:after="160"/>
              <w:ind w:left="0" w:right="0" w:hanging="0"/>
              <w:jc w:val="left"/>
              <w:rPr/>
            </w:pPr>
            <w:r>
              <w:rPr/>
              <w:t>​</w:t>
            </w:r>
          </w:p>
        </w:tc>
        <w:tc>
          <w:tcPr>
            <w:tcW w:w="910" w:type="dxa"/>
            <w:gridSpan w:val="2"/>
            <w:tcBorders/>
            <w:vAlign w:val="center"/>
          </w:tcPr>
          <w:p>
            <w:pPr>
              <w:pStyle w:val="TableContents"/>
              <w:bidi w:val="0"/>
              <w:spacing w:lineRule="auto" w:line="328" w:before="0" w:after="160"/>
              <w:ind w:left="0" w:right="0" w:hanging="0"/>
              <w:jc w:val="left"/>
              <w:rPr/>
            </w:pPr>
            <w:r>
              <w:rPr/>
              <w:t>​</w:t>
            </w:r>
          </w:p>
        </w:tc>
      </w:tr>
      <w:tr>
        <w:trPr/>
        <w:tc>
          <w:tcPr>
            <w:tcW w:w="236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4" w:type="dxa"/>
            <w:gridSpan w:val="2"/>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4" w:type="dxa"/>
            <w:gridSpan w:val="2"/>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4" w:type="dxa"/>
            <w:gridSpan w:val="2"/>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61"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61" w:type="dxa"/>
            <w:tcBorders/>
            <w:vAlign w:val="center"/>
          </w:tcPr>
          <w:p>
            <w:pPr>
              <w:pStyle w:val="TableContents"/>
              <w:bidi w:val="0"/>
              <w:spacing w:lineRule="auto" w:line="328" w:before="0" w:after="160"/>
              <w:ind w:left="0" w:right="0" w:hanging="0"/>
              <w:jc w:val="left"/>
              <w:rPr/>
            </w:pPr>
            <w:r>
              <w:rPr/>
              <w:t>​</w:t>
            </w:r>
          </w:p>
        </w:tc>
        <w:tc>
          <w:tcPr>
            <w:tcW w:w="910" w:type="dxa"/>
            <w:gridSpan w:val="2"/>
            <w:tcBorders/>
            <w:vAlign w:val="center"/>
          </w:tcPr>
          <w:p>
            <w:pPr>
              <w:pStyle w:val="TableContents"/>
              <w:bidi w:val="0"/>
              <w:spacing w:lineRule="auto" w:line="328" w:before="0" w:after="160"/>
              <w:ind w:left="0" w:right="0" w:hanging="0"/>
              <w:jc w:val="left"/>
              <w:rPr/>
            </w:pPr>
            <w:r>
              <w:rPr/>
              <w:t>​</w:t>
            </w:r>
          </w:p>
        </w:tc>
      </w:tr>
      <w:tr>
        <w:trPr/>
        <w:tc>
          <w:tcPr>
            <w:tcW w:w="236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774"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pacing w:val="-10"/>
                <w:sz w:val="16"/>
              </w:rPr>
            </w:pPr>
            <w:r>
              <w:rPr>
                <w:rFonts w:ascii="Times New Roman;Times;serif" w:hAnsi="Times New Roman;Times;serif"/>
                <w:b/>
                <w:spacing w:val="-10"/>
                <w:sz w:val="16"/>
              </w:rPr>
              <w:t>Net</w:t>
            </w:r>
          </w:p>
        </w:tc>
        <w:tc>
          <w:tcPr>
            <w:tcW w:w="346" w:type="dxa"/>
            <w:tcBorders/>
            <w:vAlign w:val="center"/>
          </w:tcPr>
          <w:p>
            <w:pPr>
              <w:pStyle w:val="TableContents"/>
              <w:bidi w:val="0"/>
              <w:spacing w:lineRule="auto" w:line="328" w:before="0" w:after="160"/>
              <w:ind w:left="0" w:right="0" w:hanging="0"/>
              <w:jc w:val="left"/>
              <w:rPr/>
            </w:pPr>
            <w:r>
              <w:rPr/>
              <w:t>​</w:t>
            </w:r>
          </w:p>
        </w:tc>
        <w:tc>
          <w:tcPr>
            <w:tcW w:w="774" w:type="dxa"/>
            <w:gridSpan w:val="2"/>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4" w:type="dxa"/>
            <w:gridSpan w:val="2"/>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(Discount) to</w:t>
            </w:r>
          </w:p>
        </w:tc>
        <w:tc>
          <w:tcPr>
            <w:tcW w:w="361"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(Discount) to</w:t>
            </w:r>
          </w:p>
        </w:tc>
        <w:tc>
          <w:tcPr>
            <w:tcW w:w="361" w:type="dxa"/>
            <w:tcBorders/>
            <w:vAlign w:val="center"/>
          </w:tcPr>
          <w:p>
            <w:pPr>
              <w:pStyle w:val="TableContents"/>
              <w:bidi w:val="0"/>
              <w:spacing w:lineRule="auto" w:line="328" w:before="0" w:after="160"/>
              <w:ind w:left="0" w:right="0" w:hanging="0"/>
              <w:jc w:val="left"/>
              <w:rPr>
                <w:spacing w:val="-10"/>
              </w:rPr>
            </w:pPr>
            <w:r>
              <w:rPr>
                <w:spacing w:val="-10"/>
              </w:rPr>
              <w:t>​</w:t>
            </w:r>
          </w:p>
        </w:tc>
        <w:tc>
          <w:tcPr>
            <w:tcW w:w="91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pacing w:val="-10"/>
                <w:sz w:val="16"/>
              </w:rPr>
            </w:pPr>
            <w:r>
              <w:rPr>
                <w:rFonts w:ascii="Times New Roman;Times;serif" w:hAnsi="Times New Roman;Times;serif"/>
                <w:b/>
                <w:spacing w:val="-10"/>
                <w:sz w:val="16"/>
              </w:rPr>
              <w:t>Cash</w:t>
            </w:r>
          </w:p>
        </w:tc>
      </w:tr>
      <w:tr>
        <w:trPr/>
        <w:tc>
          <w:tcPr>
            <w:tcW w:w="236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774"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pacing w:val="-10"/>
                <w:sz w:val="16"/>
              </w:rPr>
            </w:pPr>
            <w:r>
              <w:rPr>
                <w:rFonts w:ascii="Times New Roman;Times;serif" w:hAnsi="Times New Roman;Times;serif"/>
                <w:b/>
                <w:spacing w:val="-10"/>
                <w:sz w:val="16"/>
              </w:rPr>
              <w:t>Asset</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189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2"/>
                <w:sz w:val="16"/>
              </w:rPr>
            </w:pPr>
            <w:r>
              <w:rPr>
                <w:rFonts w:ascii="Times New Roman;Times;serif" w:hAnsi="Times New Roman;Times;serif"/>
                <w:b/>
                <w:spacing w:val="-2"/>
                <w:sz w:val="16"/>
              </w:rPr>
              <w:t>Price Range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Net Asset</w:t>
            </w:r>
          </w:p>
        </w:tc>
        <w:tc>
          <w:tcPr>
            <w:tcW w:w="361"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Net Asset</w:t>
            </w:r>
          </w:p>
        </w:tc>
        <w:tc>
          <w:tcPr>
            <w:tcW w:w="361"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spacing w:val="-10"/>
              </w:rPr>
            </w:pPr>
            <w:r>
              <w:rPr>
                <w:spacing w:val="-10"/>
              </w:rPr>
              <w:t>​</w:t>
            </w:r>
          </w:p>
        </w:tc>
        <w:tc>
          <w:tcPr>
            <w:tcW w:w="91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10"/>
                <w:sz w:val="16"/>
              </w:rPr>
            </w:pPr>
            <w:r>
              <w:rPr>
                <w:rFonts w:ascii="Times New Roman;Times;serif" w:hAnsi="Times New Roman;Times;serif"/>
                <w:b/>
                <w:spacing w:val="-10"/>
                <w:sz w:val="16"/>
              </w:rPr>
              <w:t>Dividend</w:t>
            </w:r>
          </w:p>
        </w:tc>
      </w:tr>
      <w:tr>
        <w:trPr/>
        <w:tc>
          <w:tcPr>
            <w:tcW w:w="23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Class and Period</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7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Value</w:t>
            </w:r>
            <w:r>
              <w:rPr>
                <w:rFonts w:ascii="Times New Roman;Times;serif" w:hAnsi="Times New Roman;Times;serif"/>
                <w:b/>
                <w:sz w:val="12"/>
              </w:rPr>
              <w:t>(1)</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74"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2"/>
                <w:sz w:val="16"/>
              </w:rPr>
            </w:pPr>
            <w:r>
              <w:rPr>
                <w:rFonts w:ascii="Times New Roman;Times;serif" w:hAnsi="Times New Roman;Times;serif"/>
                <w:b/>
                <w:spacing w:val="-2"/>
                <w:sz w:val="16"/>
              </w:rPr>
              <w:t>High</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left"/>
              <w:rPr/>
            </w:pPr>
            <w:r>
              <w:rPr/>
              <w:t>  ​ ​ ​</w:t>
            </w:r>
          </w:p>
        </w:tc>
        <w:tc>
          <w:tcPr>
            <w:tcW w:w="774"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center"/>
              <w:rPr>
                <w:rFonts w:ascii="Times New Roman;Times;serif" w:hAnsi="Times New Roman;Times;serif"/>
                <w:b/>
                <w:spacing w:val="-2"/>
                <w:sz w:val="16"/>
              </w:rPr>
            </w:pPr>
            <w:r>
              <w:rPr>
                <w:rFonts w:ascii="Times New Roman;Times;serif" w:hAnsi="Times New Roman;Times;serif"/>
                <w:b/>
                <w:spacing w:val="-2"/>
                <w:sz w:val="16"/>
              </w:rPr>
              <w:t>Low</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Value</w:t>
            </w:r>
            <w:r>
              <w:rPr>
                <w:rFonts w:ascii="Times New Roman;Times;serif" w:hAnsi="Times New Roman;Times;serif"/>
                <w:b/>
                <w:sz w:val="12"/>
              </w:rPr>
              <w:t>(2)</w:t>
            </w:r>
          </w:p>
        </w:tc>
        <w:tc>
          <w:tcPr>
            <w:tcW w:w="3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Value</w:t>
            </w:r>
            <w:r>
              <w:rPr>
                <w:rFonts w:ascii="Times New Roman;Times;serif" w:hAnsi="Times New Roman;Times;serif"/>
                <w:b/>
                <w:sz w:val="12"/>
              </w:rPr>
              <w:t>(2)</w:t>
            </w:r>
          </w:p>
        </w:tc>
        <w:tc>
          <w:tcPr>
            <w:tcW w:w="3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91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pacing w:val="-10"/>
                <w:sz w:val="16"/>
              </w:rPr>
              <w:t>Per Share</w:t>
            </w:r>
            <w:r>
              <w:rPr>
                <w:rFonts w:ascii="Times New Roman;Times;serif" w:hAnsi="Times New Roman;Times;serif"/>
                <w:b/>
                <w:spacing w:val="-10"/>
                <w:sz w:val="12"/>
              </w:rPr>
              <w:t>(3)</w:t>
            </w:r>
          </w:p>
        </w:tc>
      </w:tr>
      <w:tr>
        <w:trPr/>
        <w:tc>
          <w:tcPr>
            <w:tcW w:w="236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 2025</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563"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563"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563"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5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61" w:type="dxa"/>
            <w:tcBorders/>
            <w:shd w:fill="CCEEFF" w:val="clear"/>
            <w:vAlign w:val="center"/>
          </w:tcPr>
          <w:p>
            <w:pPr>
              <w:pStyle w:val="TableContents"/>
              <w:bidi w:val="0"/>
              <w:spacing w:lineRule="auto" w:line="328" w:before="0" w:after="160"/>
              <w:ind w:left="0" w:right="0" w:hanging="0"/>
              <w:jc w:val="left"/>
              <w:rPr/>
            </w:pPr>
            <w:r>
              <w:rPr/>
              <w:t>​</w:t>
            </w:r>
          </w:p>
        </w:tc>
        <w:tc>
          <w:tcPr>
            <w:tcW w:w="105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61" w:type="dxa"/>
            <w:tcBorders/>
            <w:shd w:fill="CCEEFF" w:val="clear"/>
            <w:vAlign w:val="center"/>
          </w:tcPr>
          <w:p>
            <w:pPr>
              <w:pStyle w:val="TableContents"/>
              <w:bidi w:val="0"/>
              <w:spacing w:lineRule="auto" w:line="328" w:before="0" w:after="160"/>
              <w:ind w:left="0" w:right="0" w:hanging="0"/>
              <w:jc w:val="left"/>
              <w:rPr/>
            </w:pPr>
            <w:r>
              <w:rPr/>
              <w:t>​</w:t>
            </w:r>
          </w:p>
        </w:tc>
        <w:tc>
          <w:tcPr>
            <w:tcW w:w="249" w:type="dxa"/>
            <w:tcBorders/>
            <w:shd w:fill="CCEEFF" w:val="clear"/>
            <w:vAlign w:val="center"/>
          </w:tcPr>
          <w:p>
            <w:pPr>
              <w:pStyle w:val="TableContents"/>
              <w:bidi w:val="0"/>
              <w:spacing w:lineRule="auto" w:line="328" w:before="0" w:after="160"/>
              <w:ind w:left="0" w:right="0" w:hanging="0"/>
              <w:jc w:val="left"/>
              <w:rPr/>
            </w:pPr>
            <w:r>
              <w:rPr/>
              <w:t>​</w:t>
            </w:r>
          </w:p>
        </w:tc>
        <w:tc>
          <w:tcPr>
            <w:tcW w:w="661" w:type="dxa"/>
            <w:tcBorders/>
            <w:shd w:fill="CCEEFF" w:val="clear"/>
            <w:vAlign w:val="center"/>
          </w:tcPr>
          <w:p>
            <w:pPr>
              <w:pStyle w:val="TableContents"/>
              <w:bidi w:val="0"/>
              <w:spacing w:lineRule="auto" w:line="328" w:before="0" w:after="160"/>
              <w:ind w:left="0" w:right="0" w:hanging="0"/>
              <w:jc w:val="left"/>
              <w:rPr/>
            </w:pPr>
            <w:r>
              <w:rPr/>
              <w:t>​</w:t>
            </w:r>
          </w:p>
        </w:tc>
      </w:tr>
      <w:tr>
        <w:trPr/>
        <w:tc>
          <w:tcPr>
            <w:tcW w:w="2365"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(through</w:t>
            </w:r>
            <w:r>
              <w:rPr>
                <w:rFonts w:ascii="Aptos" w:hAnsi="Aptos"/>
                <w:spacing w:val="-4"/>
                <w:sz w:val="20"/>
              </w:rPr>
              <w:t xml:space="preserve"> </w:t>
            </w:r>
            <w:r>
              <w:rPr>
                <w:rFonts w:ascii="Times New Roman;Times;serif" w:hAnsi="Times New Roman;Times;serif"/>
                <w:sz w:val="20"/>
              </w:rPr>
              <w:t>March</w:t>
            </w:r>
            <w:r>
              <w:rPr>
                <w:rFonts w:ascii="Aptos" w:hAnsi="Aptos"/>
                <w:spacing w:val="-3"/>
                <w:sz w:val="20"/>
              </w:rPr>
              <w:t xml:space="preserve"> </w:t>
            </w:r>
            <w:r>
              <w:rPr>
                <w:rFonts w:ascii="Times New Roman;Times;serif" w:hAnsi="Times New Roman;Times;serif"/>
                <w:sz w:val="20"/>
              </w:rPr>
              <w:t>17,</w:t>
            </w:r>
            <w:r>
              <w:rPr>
                <w:rFonts w:ascii="Aptos" w:hAnsi="Aptos"/>
                <w:spacing w:val="-3"/>
                <w:sz w:val="20"/>
              </w:rPr>
              <w:t xml:space="preserve"> </w:t>
            </w:r>
            <w:r>
              <w:rPr>
                <w:rFonts w:ascii="Times New Roman;Times;serif" w:hAnsi="Times New Roman;Times;serif"/>
                <w:sz w:val="20"/>
              </w:rPr>
              <w:t>2025)</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20"/>
              </w:rPr>
            </w:pPr>
            <w:r>
              <w:rPr>
                <w:rFonts w:ascii="Times New Roman;Times;serif" w:hAnsi="Times New Roman;Times;serif"/>
                <w:spacing w:val="-10"/>
                <w:sz w:val="20"/>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10"/>
                <w:sz w:val="20"/>
              </w:rPr>
            </w:pPr>
            <w:r>
              <w:rPr>
                <w:rFonts w:ascii="Times New Roman;Times;serif" w:hAnsi="Times New Roman;Times;serif"/>
                <w:spacing w:val="-10"/>
                <w:sz w:val="20"/>
              </w:rPr>
              <w:t>*</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pacing w:val="-2"/>
                <w:sz w:val="20"/>
              </w:rPr>
            </w:pPr>
            <w:r>
              <w:rPr>
                <w:rFonts w:ascii="Times New Roman;Times;serif" w:hAnsi="Times New Roman;Times;serif"/>
                <w:spacing w:val="-2"/>
                <w:sz w:val="20"/>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11.63</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pacing w:val="-2"/>
                <w:sz w:val="20"/>
              </w:rPr>
            </w:pPr>
            <w:r>
              <w:rPr>
                <w:rFonts w:ascii="Times New Roman;Times;serif" w:hAnsi="Times New Roman;Times;serif"/>
                <w:spacing w:val="-2"/>
                <w:sz w:val="20"/>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10.82</w:t>
            </w:r>
          </w:p>
        </w:tc>
        <w:tc>
          <w:tcPr>
            <w:tcW w:w="346"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9"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20"/>
              </w:rPr>
            </w:pPr>
            <w:r>
              <w:rPr>
                <w:rFonts w:ascii="Times New Roman;Times;serif" w:hAnsi="Times New Roman;Times;serif"/>
                <w:spacing w:val="-10"/>
                <w:sz w:val="20"/>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pacing w:val="-10"/>
                <w:sz w:val="20"/>
              </w:rPr>
            </w:pPr>
            <w:r>
              <w:rPr>
                <w:rFonts w:ascii="Times New Roman;Times;serif" w:hAnsi="Times New Roman;Times;serif"/>
                <w:spacing w:val="-10"/>
                <w:sz w:val="20"/>
              </w:rPr>
              <w:t>*</w:t>
            </w:r>
          </w:p>
        </w:tc>
      </w:tr>
      <w:tr>
        <w:trPr/>
        <w:tc>
          <w:tcPr>
            <w:tcW w:w="2365"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b/>
                <w:sz w:val="20"/>
              </w:rPr>
              <w:t>Year</w:t>
            </w:r>
            <w:r>
              <w:rPr>
                <w:rFonts w:ascii="Aptos" w:hAnsi="Aptos"/>
                <w:spacing w:val="-11"/>
                <w:sz w:val="20"/>
              </w:rPr>
              <w:t xml:space="preserve"> </w:t>
            </w:r>
            <w:r>
              <w:rPr>
                <w:rFonts w:ascii="Times New Roman;Times;serif" w:hAnsi="Times New Roman;Times;serif"/>
                <w:b/>
                <w:sz w:val="20"/>
              </w:rPr>
              <w:t>ending</w:t>
            </w:r>
            <w:r>
              <w:rPr>
                <w:rFonts w:ascii="Aptos" w:hAnsi="Aptos"/>
                <w:spacing w:val="-11"/>
                <w:sz w:val="20"/>
              </w:rPr>
              <w:t xml:space="preserve"> </w:t>
            </w:r>
            <w:r>
              <w:rPr>
                <w:rFonts w:ascii="Times New Roman;Times;serif" w:hAnsi="Times New Roman;Times;serif"/>
                <w:b/>
                <w:sz w:val="20"/>
              </w:rPr>
              <w:t>December</w:t>
            </w:r>
            <w:r>
              <w:rPr>
                <w:rFonts w:ascii="Aptos" w:hAnsi="Aptos"/>
                <w:spacing w:val="-11"/>
                <w:sz w:val="20"/>
              </w:rPr>
              <w:t xml:space="preserve"> </w:t>
            </w:r>
            <w:r>
              <w:rPr>
                <w:rFonts w:ascii="Times New Roman;Times;serif" w:hAnsi="Times New Roman;Times;serif"/>
                <w:b/>
                <w:sz w:val="20"/>
              </w:rPr>
              <w:t>31,</w:t>
            </w:r>
            <w:r>
              <w:rPr>
                <w:rFonts w:ascii="Aptos" w:hAnsi="Aptos"/>
                <w:spacing w:val="-11"/>
                <w:sz w:val="20"/>
              </w:rPr>
              <w:t xml:space="preserve"> </w:t>
            </w:r>
            <w:r>
              <w:rPr>
                <w:rFonts w:ascii="Times New Roman;Times;serif" w:hAnsi="Times New Roman;Times;serif"/>
                <w:b/>
                <w:spacing w:val="-4"/>
                <w:sz w:val="20"/>
              </w:rPr>
              <w:t>2024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563"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563"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563"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51" w:type="dxa"/>
            <w:tcBorders/>
            <w:shd w:fill="CCEEFF" w:val="clear"/>
            <w:vAlign w:val="center"/>
          </w:tcPr>
          <w:p>
            <w:pPr>
              <w:pStyle w:val="TableContents"/>
              <w:bidi w:val="0"/>
              <w:spacing w:lineRule="auto" w:line="328" w:before="0" w:after="160"/>
              <w:ind w:left="0" w:right="0" w:hanging="0"/>
              <w:jc w:val="left"/>
              <w:rPr/>
            </w:pPr>
            <w:r>
              <w:rPr/>
              <w:t>​</w:t>
            </w:r>
          </w:p>
        </w:tc>
        <w:tc>
          <w:tcPr>
            <w:tcW w:w="361" w:type="dxa"/>
            <w:tcBorders/>
            <w:shd w:fill="CCEEFF" w:val="clear"/>
            <w:vAlign w:val="center"/>
          </w:tcPr>
          <w:p>
            <w:pPr>
              <w:pStyle w:val="TableContents"/>
              <w:bidi w:val="0"/>
              <w:spacing w:lineRule="auto" w:line="328" w:before="0" w:after="160"/>
              <w:ind w:left="0" w:right="0" w:hanging="0"/>
              <w:jc w:val="left"/>
              <w:rPr/>
            </w:pPr>
            <w:r>
              <w:rPr/>
              <w:t>​</w:t>
            </w:r>
          </w:p>
        </w:tc>
        <w:tc>
          <w:tcPr>
            <w:tcW w:w="1051" w:type="dxa"/>
            <w:tcBorders/>
            <w:shd w:fill="CCEEFF" w:val="clear"/>
            <w:vAlign w:val="center"/>
          </w:tcPr>
          <w:p>
            <w:pPr>
              <w:pStyle w:val="TableContents"/>
              <w:bidi w:val="0"/>
              <w:spacing w:lineRule="auto" w:line="328" w:before="0" w:after="160"/>
              <w:ind w:left="0" w:right="0" w:hanging="0"/>
              <w:jc w:val="left"/>
              <w:rPr/>
            </w:pPr>
            <w:r>
              <w:rPr/>
              <w:t>​</w:t>
            </w:r>
          </w:p>
        </w:tc>
        <w:tc>
          <w:tcPr>
            <w:tcW w:w="361" w:type="dxa"/>
            <w:tcBorders/>
            <w:shd w:fill="CCEEFF" w:val="clear"/>
            <w:vAlign w:val="center"/>
          </w:tcPr>
          <w:p>
            <w:pPr>
              <w:pStyle w:val="TableContents"/>
              <w:bidi w:val="0"/>
              <w:spacing w:lineRule="auto" w:line="328" w:before="0" w:after="160"/>
              <w:ind w:left="0" w:right="0" w:hanging="0"/>
              <w:jc w:val="left"/>
              <w:rPr/>
            </w:pPr>
            <w:r>
              <w:rPr/>
              <w:t>​</w:t>
            </w:r>
          </w:p>
        </w:tc>
        <w:tc>
          <w:tcPr>
            <w:tcW w:w="249" w:type="dxa"/>
            <w:tcBorders/>
            <w:shd w:fill="CCEEFF" w:val="clear"/>
            <w:vAlign w:val="center"/>
          </w:tcPr>
          <w:p>
            <w:pPr>
              <w:pStyle w:val="TableContents"/>
              <w:bidi w:val="0"/>
              <w:spacing w:lineRule="auto" w:line="328" w:before="0" w:after="160"/>
              <w:ind w:left="0" w:right="0" w:hanging="0"/>
              <w:jc w:val="left"/>
              <w:rPr/>
            </w:pPr>
            <w:r>
              <w:rPr/>
              <w:t>​</w:t>
            </w:r>
          </w:p>
        </w:tc>
        <w:tc>
          <w:tcPr>
            <w:tcW w:w="661" w:type="dxa"/>
            <w:tcBorders/>
            <w:shd w:fill="CCEEFF" w:val="clear"/>
            <w:vAlign w:val="center"/>
          </w:tcPr>
          <w:p>
            <w:pPr>
              <w:pStyle w:val="TableContents"/>
              <w:bidi w:val="0"/>
              <w:spacing w:lineRule="auto" w:line="328" w:before="0" w:after="160"/>
              <w:ind w:left="0" w:right="0" w:hanging="0"/>
              <w:jc w:val="left"/>
              <w:rPr/>
            </w:pPr>
            <w:r>
              <w:rPr/>
              <w:t>​</w:t>
            </w:r>
          </w:p>
        </w:tc>
      </w:tr>
      <w:tr>
        <w:trPr/>
        <w:tc>
          <w:tcPr>
            <w:tcW w:w="2365"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Fourth</w:t>
            </w:r>
            <w:r>
              <w:rPr>
                <w:rFonts w:ascii="Aptos" w:hAnsi="Aptos"/>
                <w:spacing w:val="-3"/>
                <w:sz w:val="20"/>
              </w:rPr>
              <w:t xml:space="preserve"> </w:t>
            </w:r>
            <w:r>
              <w:rPr>
                <w:rFonts w:ascii="Times New Roman;Times;serif" w:hAnsi="Times New Roman;Times;serif"/>
                <w:sz w:val="20"/>
              </w:rPr>
              <w:t>Quarter</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1" w:type="dxa"/>
            <w:tcBorders/>
            <w:vAlign w:val="center"/>
          </w:tcPr>
          <w:p>
            <w:pPr>
              <w:pStyle w:val="TableContents"/>
              <w:bidi w:val="0"/>
              <w:spacing w:lineRule="auto" w:line="328" w:before="0" w:after="160"/>
              <w:ind w:left="0" w:right="0" w:hanging="0"/>
              <w:jc w:val="left"/>
              <w:rPr>
                <w:spacing w:val="-10"/>
              </w:rPr>
            </w:pPr>
            <w:r>
              <w:rPr>
                <w:spacing w:val="-10"/>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10"/>
                <w:sz w:val="20"/>
              </w:rPr>
            </w:pPr>
            <w:r>
              <w:rPr>
                <w:rFonts w:ascii="Times New Roman;Times;serif" w:hAnsi="Times New Roman;Times;serif"/>
                <w:spacing w:val="-10"/>
                <w:sz w:val="20"/>
              </w:rPr>
              <w:t>*</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10.96</w:t>
            </w:r>
          </w:p>
        </w:tc>
        <w:tc>
          <w:tcPr>
            <w:tcW w:w="346" w:type="dxa"/>
            <w:tcBorders/>
            <w:vAlign w:val="center"/>
          </w:tcPr>
          <w:p>
            <w:pPr>
              <w:pStyle w:val="TableContents"/>
              <w:bidi w:val="0"/>
              <w:spacing w:lineRule="auto" w:line="328" w:before="0" w:after="160"/>
              <w:ind w:left="0" w:right="0" w:hanging="0"/>
              <w:jc w:val="left"/>
              <w:rPr>
                <w:spacing w:val="-4"/>
              </w:rPr>
            </w:pPr>
            <w:r>
              <w:rPr>
                <w:spacing w:val="-4"/>
              </w:rPr>
              <w:t>​</w:t>
            </w:r>
          </w:p>
        </w:tc>
        <w:tc>
          <w:tcPr>
            <w:tcW w:w="211" w:type="dxa"/>
            <w:tcBorders/>
            <w:vAlign w:val="center"/>
          </w:tcPr>
          <w:p>
            <w:pPr>
              <w:pStyle w:val="TableContents"/>
              <w:bidi w:val="0"/>
              <w:spacing w:lineRule="auto" w:line="328" w:before="0" w:after="160"/>
              <w:ind w:left="0" w:right="0" w:hanging="0"/>
              <w:jc w:val="left"/>
              <w:rPr>
                <w:spacing w:val="-4"/>
              </w:rPr>
            </w:pPr>
            <w:r>
              <w:rPr>
                <w:spacing w:val="-4"/>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9.97</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pacing w:val="-10"/>
                <w:sz w:val="20"/>
              </w:rPr>
            </w:pPr>
            <w:r>
              <w:rPr>
                <w:rFonts w:ascii="Times New Roman;Times;serif" w:hAnsi="Times New Roman;Times;serif"/>
                <w:spacing w:val="-10"/>
                <w:sz w:val="20"/>
              </w:rPr>
              <w:t>*</w:t>
            </w:r>
          </w:p>
        </w:tc>
        <w:tc>
          <w:tcPr>
            <w:tcW w:w="361" w:type="dxa"/>
            <w:tcBorders/>
            <w:vAlign w:val="center"/>
          </w:tcPr>
          <w:p>
            <w:pPr>
              <w:pStyle w:val="TableContents"/>
              <w:bidi w:val="0"/>
              <w:spacing w:lineRule="auto" w:line="328" w:before="0" w:after="160"/>
              <w:ind w:left="0" w:right="0" w:hanging="0"/>
              <w:jc w:val="left"/>
              <w:rPr>
                <w:spacing w:val="-10"/>
              </w:rPr>
            </w:pPr>
            <w:r>
              <w:rPr>
                <w:spacing w:val="-10"/>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pacing w:val="-10"/>
                <w:sz w:val="20"/>
              </w:rPr>
            </w:pPr>
            <w:r>
              <w:rPr>
                <w:rFonts w:ascii="Times New Roman;Times;serif" w:hAnsi="Times New Roman;Times;serif"/>
                <w:spacing w:val="-10"/>
                <w:sz w:val="20"/>
              </w:rPr>
              <w:t>*</w:t>
            </w:r>
          </w:p>
        </w:tc>
        <w:tc>
          <w:tcPr>
            <w:tcW w:w="361" w:type="dxa"/>
            <w:tcBorders/>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0.40</w:t>
            </w:r>
          </w:p>
        </w:tc>
      </w:tr>
      <w:tr>
        <w:trPr/>
        <w:tc>
          <w:tcPr>
            <w:tcW w:w="2365"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Third</w:t>
            </w:r>
            <w:r>
              <w:rPr>
                <w:rFonts w:ascii="Aptos" w:hAnsi="Aptos"/>
                <w:spacing w:val="-3"/>
                <w:sz w:val="20"/>
              </w:rPr>
              <w:t xml:space="preserve"> </w:t>
            </w:r>
            <w:r>
              <w:rPr>
                <w:rFonts w:ascii="Times New Roman;Times;serif" w:hAnsi="Times New Roman;Times;serif"/>
                <w:sz w:val="20"/>
              </w:rPr>
              <w:t>Quarter</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13.39</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12.02</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10.10</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(10.2)</w:t>
            </w:r>
          </w:p>
        </w:tc>
        <w:tc>
          <w:tcPr>
            <w:tcW w:w="36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(24.4)</w:t>
            </w:r>
          </w:p>
        </w:tc>
        <w:tc>
          <w:tcPr>
            <w:tcW w:w="361"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0.45</w:t>
            </w:r>
          </w:p>
        </w:tc>
      </w:tr>
      <w:tr>
        <w:trPr/>
        <w:tc>
          <w:tcPr>
            <w:tcW w:w="2365"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Second</w:t>
            </w:r>
            <w:r>
              <w:rPr>
                <w:rFonts w:ascii="Aptos" w:hAnsi="Aptos"/>
                <w:spacing w:val="-3"/>
                <w:sz w:val="20"/>
              </w:rPr>
              <w:t xml:space="preserve"> </w:t>
            </w:r>
            <w:r>
              <w:rPr>
                <w:rFonts w:ascii="Times New Roman;Times;serif" w:hAnsi="Times New Roman;Times;serif"/>
                <w:sz w:val="20"/>
              </w:rPr>
              <w:t>Quarter</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13.14</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13.25</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11.57</w:t>
            </w:r>
          </w:p>
        </w:tc>
        <w:tc>
          <w:tcPr>
            <w:tcW w:w="346"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(11.9)</w:t>
            </w:r>
          </w:p>
        </w:tc>
        <w:tc>
          <w:tcPr>
            <w:tcW w:w="361" w:type="dxa"/>
            <w:tcBorders/>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0.47</w:t>
            </w:r>
          </w:p>
        </w:tc>
      </w:tr>
      <w:tr>
        <w:trPr/>
        <w:tc>
          <w:tcPr>
            <w:tcW w:w="2365"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First</w:t>
            </w:r>
            <w:r>
              <w:rPr>
                <w:rFonts w:ascii="Aptos" w:hAnsi="Aptos"/>
                <w:spacing w:val="-2"/>
                <w:sz w:val="20"/>
              </w:rPr>
              <w:t xml:space="preserve"> </w:t>
            </w:r>
            <w:r>
              <w:rPr>
                <w:rFonts w:ascii="Times New Roman;Times;serif" w:hAnsi="Times New Roman;Times;serif"/>
                <w:sz w:val="20"/>
              </w:rPr>
              <w:t>Quarter</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13.36</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13.67</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11.56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(13.5)</w:t>
            </w:r>
          </w:p>
        </w:tc>
        <w:tc>
          <w:tcPr>
            <w:tcW w:w="361"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0.47</w:t>
            </w:r>
          </w:p>
        </w:tc>
      </w:tr>
      <w:tr>
        <w:trPr/>
        <w:tc>
          <w:tcPr>
            <w:tcW w:w="2365"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b/>
                <w:sz w:val="20"/>
              </w:rPr>
              <w:t>Year</w:t>
            </w:r>
            <w:r>
              <w:rPr>
                <w:rFonts w:ascii="Aptos" w:hAnsi="Aptos"/>
                <w:spacing w:val="-11"/>
                <w:sz w:val="20"/>
              </w:rPr>
              <w:t xml:space="preserve"> </w:t>
            </w:r>
            <w:r>
              <w:rPr>
                <w:rFonts w:ascii="Times New Roman;Times;serif" w:hAnsi="Times New Roman;Times;serif"/>
                <w:b/>
                <w:sz w:val="20"/>
              </w:rPr>
              <w:t>ending</w:t>
            </w:r>
            <w:r>
              <w:rPr>
                <w:rFonts w:ascii="Aptos" w:hAnsi="Aptos"/>
                <w:spacing w:val="-11"/>
                <w:sz w:val="20"/>
              </w:rPr>
              <w:t xml:space="preserve"> </w:t>
            </w:r>
            <w:r>
              <w:rPr>
                <w:rFonts w:ascii="Times New Roman;Times;serif" w:hAnsi="Times New Roman;Times;serif"/>
                <w:b/>
                <w:sz w:val="20"/>
              </w:rPr>
              <w:t>December</w:t>
            </w:r>
            <w:r>
              <w:rPr>
                <w:rFonts w:ascii="Aptos" w:hAnsi="Aptos"/>
                <w:spacing w:val="-11"/>
                <w:sz w:val="20"/>
              </w:rPr>
              <w:t xml:space="preserve"> </w:t>
            </w:r>
            <w:r>
              <w:rPr>
                <w:rFonts w:ascii="Times New Roman;Times;serif" w:hAnsi="Times New Roman;Times;serif"/>
                <w:b/>
                <w:sz w:val="20"/>
              </w:rPr>
              <w:t>31,</w:t>
            </w:r>
            <w:r>
              <w:rPr>
                <w:rFonts w:ascii="Aptos" w:hAnsi="Aptos"/>
                <w:spacing w:val="-11"/>
                <w:sz w:val="20"/>
              </w:rPr>
              <w:t xml:space="preserve"> </w:t>
            </w:r>
            <w:r>
              <w:rPr>
                <w:rFonts w:ascii="Times New Roman;Times;serif" w:hAnsi="Times New Roman;Times;serif"/>
                <w:b/>
                <w:spacing w:val="-4"/>
                <w:sz w:val="20"/>
              </w:rPr>
              <w:t>2023</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vAlign w:val="center"/>
          </w:tcPr>
          <w:p>
            <w:pPr>
              <w:pStyle w:val="TableContents"/>
              <w:bidi w:val="0"/>
              <w:spacing w:lineRule="auto" w:line="328" w:before="0" w:after="160"/>
              <w:ind w:left="0" w:right="0" w:hanging="0"/>
              <w:jc w:val="left"/>
              <w:rPr/>
            </w:pPr>
            <w:r>
              <w:rPr/>
              <w:t>​</w:t>
            </w:r>
          </w:p>
        </w:tc>
        <w:tc>
          <w:tcPr>
            <w:tcW w:w="563"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vAlign w:val="center"/>
          </w:tcPr>
          <w:p>
            <w:pPr>
              <w:pStyle w:val="TableContents"/>
              <w:bidi w:val="0"/>
              <w:spacing w:lineRule="auto" w:line="328" w:before="0" w:after="160"/>
              <w:ind w:left="0" w:right="0" w:hanging="0"/>
              <w:jc w:val="left"/>
              <w:rPr/>
            </w:pPr>
            <w:r>
              <w:rPr/>
              <w:t>​</w:t>
            </w:r>
          </w:p>
        </w:tc>
        <w:tc>
          <w:tcPr>
            <w:tcW w:w="563"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211" w:type="dxa"/>
            <w:tcBorders/>
            <w:vAlign w:val="center"/>
          </w:tcPr>
          <w:p>
            <w:pPr>
              <w:pStyle w:val="TableContents"/>
              <w:bidi w:val="0"/>
              <w:spacing w:lineRule="auto" w:line="328" w:before="0" w:after="160"/>
              <w:ind w:left="0" w:right="0" w:hanging="0"/>
              <w:jc w:val="left"/>
              <w:rPr/>
            </w:pPr>
            <w:r>
              <w:rPr/>
              <w:t>​</w:t>
            </w:r>
          </w:p>
        </w:tc>
        <w:tc>
          <w:tcPr>
            <w:tcW w:w="563"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328" w:before="0" w:after="160"/>
              <w:ind w:left="0" w:right="0" w:hanging="0"/>
              <w:jc w:val="left"/>
              <w:rPr/>
            </w:pPr>
            <w:r>
              <w:rPr/>
              <w:t>​</w:t>
            </w:r>
          </w:p>
        </w:tc>
        <w:tc>
          <w:tcPr>
            <w:tcW w:w="361"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328" w:before="0" w:after="160"/>
              <w:ind w:left="0" w:right="0" w:hanging="0"/>
              <w:jc w:val="left"/>
              <w:rPr/>
            </w:pPr>
            <w:r>
              <w:rPr/>
              <w:t>​</w:t>
            </w:r>
          </w:p>
        </w:tc>
        <w:tc>
          <w:tcPr>
            <w:tcW w:w="361" w:type="dxa"/>
            <w:tcBorders/>
            <w:vAlign w:val="center"/>
          </w:tcPr>
          <w:p>
            <w:pPr>
              <w:pStyle w:val="TableContents"/>
              <w:bidi w:val="0"/>
              <w:spacing w:lineRule="auto" w:line="328" w:before="0" w:after="160"/>
              <w:ind w:left="0" w:right="0" w:hanging="0"/>
              <w:jc w:val="left"/>
              <w:rPr/>
            </w:pPr>
            <w:r>
              <w:rPr/>
              <w:t>​</w:t>
            </w:r>
          </w:p>
        </w:tc>
        <w:tc>
          <w:tcPr>
            <w:tcW w:w="249" w:type="dxa"/>
            <w:tcBorders/>
            <w:vAlign w:val="center"/>
          </w:tcPr>
          <w:p>
            <w:pPr>
              <w:pStyle w:val="TableContents"/>
              <w:bidi w:val="0"/>
              <w:spacing w:lineRule="auto" w:line="328" w:before="0" w:after="160"/>
              <w:ind w:left="0" w:right="0" w:hanging="0"/>
              <w:jc w:val="left"/>
              <w:rPr/>
            </w:pPr>
            <w:r>
              <w:rPr/>
              <w:t>​</w:t>
            </w:r>
          </w:p>
        </w:tc>
        <w:tc>
          <w:tcPr>
            <w:tcW w:w="661" w:type="dxa"/>
            <w:tcBorders/>
            <w:vAlign w:val="center"/>
          </w:tcPr>
          <w:p>
            <w:pPr>
              <w:pStyle w:val="TableContents"/>
              <w:bidi w:val="0"/>
              <w:spacing w:lineRule="auto" w:line="328" w:before="0" w:after="160"/>
              <w:ind w:left="0" w:right="0" w:hanging="0"/>
              <w:jc w:val="left"/>
              <w:rPr/>
            </w:pPr>
            <w:r>
              <w:rPr/>
              <w:t>​</w:t>
            </w:r>
          </w:p>
        </w:tc>
      </w:tr>
      <w:tr>
        <w:trPr/>
        <w:tc>
          <w:tcPr>
            <w:tcW w:w="2365"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Fourth</w:t>
            </w:r>
            <w:r>
              <w:rPr>
                <w:rFonts w:ascii="Aptos" w:hAnsi="Aptos"/>
                <w:spacing w:val="-3"/>
                <w:sz w:val="20"/>
              </w:rPr>
              <w:t xml:space="preserve"> </w:t>
            </w:r>
            <w:r>
              <w:rPr>
                <w:rFonts w:ascii="Times New Roman;Times;serif" w:hAnsi="Times New Roman;Times;serif"/>
                <w:sz w:val="20"/>
              </w:rPr>
              <w:t>Quarter</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13.50</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13.24</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11.90</w:t>
            </w:r>
          </w:p>
        </w:tc>
        <w:tc>
          <w:tcPr>
            <w:tcW w:w="346"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(2.0)</w:t>
            </w:r>
          </w:p>
        </w:tc>
        <w:tc>
          <w:tcPr>
            <w:tcW w:w="36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(11.9)</w:t>
            </w:r>
          </w:p>
        </w:tc>
        <w:tc>
          <w:tcPr>
            <w:tcW w:w="361"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0.46</w:t>
            </w:r>
          </w:p>
        </w:tc>
      </w:tr>
      <w:tr>
        <w:trPr/>
        <w:tc>
          <w:tcPr>
            <w:tcW w:w="2365"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Third</w:t>
            </w:r>
            <w:r>
              <w:rPr>
                <w:rFonts w:ascii="Aptos" w:hAnsi="Aptos"/>
                <w:spacing w:val="-3"/>
                <w:sz w:val="20"/>
              </w:rPr>
              <w:t xml:space="preserve"> </w:t>
            </w:r>
            <w:r>
              <w:rPr>
                <w:rFonts w:ascii="Times New Roman;Times;serif" w:hAnsi="Times New Roman;Times;serif"/>
                <w:sz w:val="20"/>
              </w:rPr>
              <w:t>Quarter</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14.08</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13.55</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12.15</w:t>
            </w:r>
          </w:p>
        </w:tc>
        <w:tc>
          <w:tcPr>
            <w:tcW w:w="346" w:type="dxa"/>
            <w:tcBorders/>
            <w:vAlign w:val="center"/>
          </w:tcPr>
          <w:p>
            <w:pPr>
              <w:pStyle w:val="TableContents"/>
              <w:bidi w:val="0"/>
              <w:spacing w:lineRule="auto" w:line="328" w:before="0" w:after="160"/>
              <w:ind w:left="0" w:right="0" w:hanging="0"/>
              <w:jc w:val="left"/>
              <w:rPr>
                <w:spacing w:val="-4"/>
              </w:rPr>
            </w:pPr>
            <w:r>
              <w:rPr>
                <w:spacing w:val="-4"/>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(3.8)</w:t>
            </w:r>
          </w:p>
        </w:tc>
        <w:tc>
          <w:tcPr>
            <w:tcW w:w="361" w:type="dxa"/>
            <w:tcBorders/>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(13.7)</w:t>
            </w:r>
          </w:p>
        </w:tc>
        <w:tc>
          <w:tcPr>
            <w:tcW w:w="361" w:type="dxa"/>
            <w:tcBorders/>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0.45</w:t>
            </w:r>
          </w:p>
        </w:tc>
      </w:tr>
      <w:tr>
        <w:trPr/>
        <w:tc>
          <w:tcPr>
            <w:tcW w:w="2365"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Second</w:t>
            </w:r>
            <w:r>
              <w:rPr>
                <w:rFonts w:ascii="Aptos" w:hAnsi="Aptos"/>
                <w:spacing w:val="-3"/>
                <w:sz w:val="20"/>
              </w:rPr>
              <w:t xml:space="preserve"> </w:t>
            </w:r>
            <w:r>
              <w:rPr>
                <w:rFonts w:ascii="Times New Roman;Times;serif" w:hAnsi="Times New Roman;Times;serif"/>
                <w:sz w:val="20"/>
              </w:rPr>
              <w:t>Quarter</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14.17</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12.63</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10.60</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(10.9)</w:t>
            </w:r>
          </w:p>
        </w:tc>
        <w:tc>
          <w:tcPr>
            <w:tcW w:w="36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(25.2)</w:t>
            </w:r>
          </w:p>
        </w:tc>
        <w:tc>
          <w:tcPr>
            <w:tcW w:w="361"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0.45</w:t>
            </w:r>
          </w:p>
        </w:tc>
      </w:tr>
      <w:tr>
        <w:trPr/>
        <w:tc>
          <w:tcPr>
            <w:tcW w:w="2365"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First</w:t>
            </w:r>
            <w:r>
              <w:rPr>
                <w:rFonts w:ascii="Aptos" w:hAnsi="Aptos"/>
                <w:spacing w:val="-2"/>
                <w:sz w:val="20"/>
              </w:rPr>
              <w:t xml:space="preserve"> </w:t>
            </w:r>
            <w:r>
              <w:rPr>
                <w:rFonts w:ascii="Times New Roman;Times;serif" w:hAnsi="Times New Roman;Times;serif"/>
                <w:sz w:val="20"/>
              </w:rPr>
              <w:t>Quarter</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14.07</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13.85</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10.89</w:t>
            </w:r>
          </w:p>
        </w:tc>
        <w:tc>
          <w:tcPr>
            <w:tcW w:w="346" w:type="dxa"/>
            <w:tcBorders/>
            <w:vAlign w:val="center"/>
          </w:tcPr>
          <w:p>
            <w:pPr>
              <w:pStyle w:val="TableContents"/>
              <w:bidi w:val="0"/>
              <w:spacing w:lineRule="auto" w:line="328" w:before="0" w:after="160"/>
              <w:ind w:left="0" w:right="0" w:hanging="0"/>
              <w:jc w:val="left"/>
              <w:rPr>
                <w:spacing w:val="-4"/>
              </w:rPr>
            </w:pPr>
            <w:r>
              <w:rPr>
                <w:spacing w:val="-4"/>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(1.6)</w:t>
            </w:r>
          </w:p>
        </w:tc>
        <w:tc>
          <w:tcPr>
            <w:tcW w:w="361" w:type="dxa"/>
            <w:tcBorders/>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(22.6)</w:t>
            </w:r>
          </w:p>
        </w:tc>
        <w:tc>
          <w:tcPr>
            <w:tcW w:w="361" w:type="dxa"/>
            <w:tcBorders/>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0.45</w:t>
            </w:r>
          </w:p>
        </w:tc>
      </w:tr>
      <w:tr>
        <w:trPr/>
        <w:tc>
          <w:tcPr>
            <w:tcW w:w="2365"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b/>
                <w:sz w:val="20"/>
              </w:rPr>
              <w:t>Year</w:t>
            </w:r>
            <w:r>
              <w:rPr>
                <w:rFonts w:ascii="Aptos" w:hAnsi="Aptos"/>
                <w:spacing w:val="-11"/>
                <w:sz w:val="20"/>
              </w:rPr>
              <w:t xml:space="preserve"> </w:t>
            </w:r>
            <w:r>
              <w:rPr>
                <w:rFonts w:ascii="Times New Roman;Times;serif" w:hAnsi="Times New Roman;Times;serif"/>
                <w:b/>
                <w:sz w:val="20"/>
              </w:rPr>
              <w:t>ending</w:t>
            </w:r>
            <w:r>
              <w:rPr>
                <w:rFonts w:ascii="Aptos" w:hAnsi="Aptos"/>
                <w:spacing w:val="-11"/>
                <w:sz w:val="20"/>
              </w:rPr>
              <w:t xml:space="preserve"> </w:t>
            </w:r>
            <w:r>
              <w:rPr>
                <w:rFonts w:ascii="Times New Roman;Times;serif" w:hAnsi="Times New Roman;Times;serif"/>
                <w:b/>
                <w:sz w:val="20"/>
              </w:rPr>
              <w:t>December</w:t>
            </w:r>
            <w:r>
              <w:rPr>
                <w:rFonts w:ascii="Aptos" w:hAnsi="Aptos"/>
                <w:spacing w:val="-11"/>
                <w:sz w:val="20"/>
              </w:rPr>
              <w:t xml:space="preserve"> </w:t>
            </w:r>
            <w:r>
              <w:rPr>
                <w:rFonts w:ascii="Times New Roman;Times;serif" w:hAnsi="Times New Roman;Times;serif"/>
                <w:b/>
                <w:sz w:val="20"/>
              </w:rPr>
              <w:t>31,</w:t>
            </w:r>
            <w:r>
              <w:rPr>
                <w:rFonts w:ascii="Aptos" w:hAnsi="Aptos"/>
                <w:spacing w:val="-11"/>
                <w:sz w:val="20"/>
              </w:rPr>
              <w:t xml:space="preserve"> </w:t>
            </w:r>
            <w:r>
              <w:rPr>
                <w:rFonts w:ascii="Times New Roman;Times;serif" w:hAnsi="Times New Roman;Times;serif"/>
                <w:b/>
                <w:spacing w:val="-4"/>
                <w:sz w:val="20"/>
              </w:rPr>
              <w:t>2022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563"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563"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1" w:type="dxa"/>
            <w:tcBorders/>
            <w:shd w:fill="CCEEFF" w:val="clear"/>
            <w:vAlign w:val="center"/>
          </w:tcPr>
          <w:p>
            <w:pPr>
              <w:pStyle w:val="TableContents"/>
              <w:bidi w:val="0"/>
              <w:spacing w:lineRule="auto" w:line="328" w:before="0" w:after="160"/>
              <w:ind w:left="0" w:right="0" w:hanging="0"/>
              <w:jc w:val="left"/>
              <w:rPr/>
            </w:pPr>
            <w:r>
              <w:rPr/>
              <w:t>​</w:t>
            </w:r>
          </w:p>
        </w:tc>
        <w:tc>
          <w:tcPr>
            <w:tcW w:w="563"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51" w:type="dxa"/>
            <w:tcBorders/>
            <w:shd w:fill="CCEEFF" w:val="clear"/>
            <w:vAlign w:val="center"/>
          </w:tcPr>
          <w:p>
            <w:pPr>
              <w:pStyle w:val="TableContents"/>
              <w:bidi w:val="0"/>
              <w:spacing w:lineRule="auto" w:line="328" w:before="0" w:after="160"/>
              <w:ind w:left="0" w:right="0" w:hanging="0"/>
              <w:jc w:val="left"/>
              <w:rPr/>
            </w:pPr>
            <w:r>
              <w:rPr/>
              <w:t>​</w:t>
            </w:r>
          </w:p>
        </w:tc>
        <w:tc>
          <w:tcPr>
            <w:tcW w:w="361" w:type="dxa"/>
            <w:tcBorders/>
            <w:shd w:fill="CCEEFF" w:val="clear"/>
            <w:vAlign w:val="center"/>
          </w:tcPr>
          <w:p>
            <w:pPr>
              <w:pStyle w:val="TableContents"/>
              <w:bidi w:val="0"/>
              <w:spacing w:lineRule="auto" w:line="328" w:before="0" w:after="160"/>
              <w:ind w:left="0" w:right="0" w:hanging="0"/>
              <w:jc w:val="left"/>
              <w:rPr/>
            </w:pPr>
            <w:r>
              <w:rPr/>
              <w:t>​</w:t>
            </w:r>
          </w:p>
        </w:tc>
        <w:tc>
          <w:tcPr>
            <w:tcW w:w="1051" w:type="dxa"/>
            <w:tcBorders/>
            <w:shd w:fill="CCEEFF" w:val="clear"/>
            <w:vAlign w:val="center"/>
          </w:tcPr>
          <w:p>
            <w:pPr>
              <w:pStyle w:val="TableContents"/>
              <w:bidi w:val="0"/>
              <w:spacing w:lineRule="auto" w:line="328" w:before="0" w:after="160"/>
              <w:ind w:left="0" w:right="0" w:hanging="0"/>
              <w:jc w:val="left"/>
              <w:rPr/>
            </w:pPr>
            <w:r>
              <w:rPr/>
              <w:t>​</w:t>
            </w:r>
          </w:p>
        </w:tc>
        <w:tc>
          <w:tcPr>
            <w:tcW w:w="361" w:type="dxa"/>
            <w:tcBorders/>
            <w:shd w:fill="CCEEFF" w:val="clear"/>
            <w:vAlign w:val="center"/>
          </w:tcPr>
          <w:p>
            <w:pPr>
              <w:pStyle w:val="TableContents"/>
              <w:bidi w:val="0"/>
              <w:spacing w:lineRule="auto" w:line="328" w:before="0" w:after="160"/>
              <w:ind w:left="0" w:right="0" w:hanging="0"/>
              <w:jc w:val="left"/>
              <w:rPr/>
            </w:pPr>
            <w:r>
              <w:rPr/>
              <w:t>​</w:t>
            </w:r>
          </w:p>
        </w:tc>
        <w:tc>
          <w:tcPr>
            <w:tcW w:w="249" w:type="dxa"/>
            <w:tcBorders/>
            <w:shd w:fill="CCEEFF" w:val="clear"/>
            <w:vAlign w:val="center"/>
          </w:tcPr>
          <w:p>
            <w:pPr>
              <w:pStyle w:val="TableContents"/>
              <w:bidi w:val="0"/>
              <w:spacing w:lineRule="auto" w:line="328" w:before="0" w:after="160"/>
              <w:ind w:left="0" w:right="0" w:hanging="0"/>
              <w:jc w:val="left"/>
              <w:rPr/>
            </w:pPr>
            <w:r>
              <w:rPr/>
              <w:t>​</w:t>
            </w:r>
          </w:p>
        </w:tc>
        <w:tc>
          <w:tcPr>
            <w:tcW w:w="661" w:type="dxa"/>
            <w:tcBorders/>
            <w:shd w:fill="CCEEFF" w:val="clear"/>
            <w:vAlign w:val="center"/>
          </w:tcPr>
          <w:p>
            <w:pPr>
              <w:pStyle w:val="TableContents"/>
              <w:bidi w:val="0"/>
              <w:spacing w:lineRule="auto" w:line="328" w:before="0" w:after="160"/>
              <w:ind w:left="0" w:right="0" w:hanging="0"/>
              <w:jc w:val="left"/>
              <w:rPr/>
            </w:pPr>
            <w:r>
              <w:rPr/>
              <w:t>​</w:t>
            </w:r>
          </w:p>
        </w:tc>
      </w:tr>
      <w:tr>
        <w:trPr/>
        <w:tc>
          <w:tcPr>
            <w:tcW w:w="2365"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Fourth</w:t>
            </w:r>
            <w:r>
              <w:rPr>
                <w:rFonts w:ascii="Aptos" w:hAnsi="Aptos"/>
                <w:spacing w:val="-3"/>
                <w:sz w:val="20"/>
              </w:rPr>
              <w:t xml:space="preserve"> </w:t>
            </w:r>
            <w:r>
              <w:rPr>
                <w:rFonts w:ascii="Times New Roman;Times;serif" w:hAnsi="Times New Roman;Times;serif"/>
                <w:sz w:val="20"/>
              </w:rPr>
              <w:t>Quarter</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14.22</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13.52</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11.31</w:t>
            </w:r>
          </w:p>
        </w:tc>
        <w:tc>
          <w:tcPr>
            <w:tcW w:w="346" w:type="dxa"/>
            <w:tcBorders/>
            <w:vAlign w:val="center"/>
          </w:tcPr>
          <w:p>
            <w:pPr>
              <w:pStyle w:val="TableContents"/>
              <w:bidi w:val="0"/>
              <w:spacing w:lineRule="auto" w:line="328" w:before="0" w:after="160"/>
              <w:ind w:left="0" w:right="0" w:hanging="0"/>
              <w:jc w:val="left"/>
              <w:rPr>
                <w:spacing w:val="-4"/>
              </w:rPr>
            </w:pPr>
            <w:r>
              <w:rPr>
                <w:spacing w:val="-4"/>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(4.9)</w:t>
            </w:r>
          </w:p>
        </w:tc>
        <w:tc>
          <w:tcPr>
            <w:tcW w:w="361" w:type="dxa"/>
            <w:tcBorders/>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(20.5)</w:t>
            </w:r>
          </w:p>
        </w:tc>
        <w:tc>
          <w:tcPr>
            <w:tcW w:w="361" w:type="dxa"/>
            <w:tcBorders/>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0.36</w:t>
            </w:r>
          </w:p>
        </w:tc>
      </w:tr>
      <w:tr>
        <w:trPr/>
        <w:tc>
          <w:tcPr>
            <w:tcW w:w="2365"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Third</w:t>
            </w:r>
            <w:r>
              <w:rPr>
                <w:rFonts w:ascii="Aptos" w:hAnsi="Aptos"/>
                <w:spacing w:val="-3"/>
                <w:sz w:val="20"/>
              </w:rPr>
              <w:t xml:space="preserve"> </w:t>
            </w:r>
            <w:r>
              <w:rPr>
                <w:rFonts w:ascii="Times New Roman;Times;serif" w:hAnsi="Times New Roman;Times;serif"/>
                <w:sz w:val="20"/>
              </w:rPr>
              <w:t>Quarter</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14.12</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13.81</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11.24</w:t>
            </w:r>
          </w:p>
        </w:tc>
        <w:tc>
          <w:tcPr>
            <w:tcW w:w="346"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(2.2)</w:t>
            </w:r>
          </w:p>
        </w:tc>
        <w:tc>
          <w:tcPr>
            <w:tcW w:w="36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(20.4)</w:t>
            </w:r>
          </w:p>
        </w:tc>
        <w:tc>
          <w:tcPr>
            <w:tcW w:w="361"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0.33</w:t>
            </w:r>
          </w:p>
        </w:tc>
      </w:tr>
      <w:tr>
        <w:trPr/>
        <w:tc>
          <w:tcPr>
            <w:tcW w:w="2365" w:type="dxa"/>
            <w:tcBorders/>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Second</w:t>
            </w:r>
            <w:r>
              <w:rPr>
                <w:rFonts w:ascii="Aptos" w:hAnsi="Aptos"/>
                <w:spacing w:val="-3"/>
                <w:sz w:val="20"/>
              </w:rPr>
              <w:t xml:space="preserve"> </w:t>
            </w:r>
            <w:r>
              <w:rPr>
                <w:rFonts w:ascii="Times New Roman;Times;serif" w:hAnsi="Times New Roman;Times;serif"/>
                <w:sz w:val="20"/>
              </w:rPr>
              <w:t>Quarter</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14.14</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14.51</w:t>
            </w:r>
          </w:p>
        </w:tc>
        <w:tc>
          <w:tcPr>
            <w:tcW w:w="346" w:type="dxa"/>
            <w:tcBorders/>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10.98</w:t>
            </w:r>
          </w:p>
        </w:tc>
        <w:tc>
          <w:tcPr>
            <w:tcW w:w="346" w:type="dxa"/>
            <w:tcBorders/>
            <w:vAlign w:val="center"/>
          </w:tcPr>
          <w:p>
            <w:pPr>
              <w:pStyle w:val="TableContents"/>
              <w:bidi w:val="0"/>
              <w:spacing w:lineRule="auto" w:line="328" w:before="0" w:after="160"/>
              <w:ind w:left="0" w:right="0" w:hanging="0"/>
              <w:jc w:val="left"/>
              <w:rPr/>
            </w:pPr>
            <w:r>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(22.3)</w:t>
            </w:r>
          </w:p>
        </w:tc>
        <w:tc>
          <w:tcPr>
            <w:tcW w:w="361" w:type="dxa"/>
            <w:tcBorders/>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pacing w:val="-4"/>
                <w:sz w:val="20"/>
              </w:rPr>
            </w:pPr>
            <w:r>
              <w:rPr>
                <w:rFonts w:ascii="Times New Roman;Times;serif" w:hAnsi="Times New Roman;Times;serif"/>
                <w:spacing w:val="-4"/>
                <w:sz w:val="20"/>
              </w:rPr>
              <w:t>0.30</w:t>
            </w:r>
          </w:p>
        </w:tc>
      </w:tr>
      <w:tr>
        <w:trPr/>
        <w:tc>
          <w:tcPr>
            <w:tcW w:w="2365" w:type="dxa"/>
            <w:tcBorders/>
            <w:shd w:fill="CCEEFF" w:val="clear"/>
            <w:vAlign w:val="center"/>
          </w:tcPr>
          <w:p>
            <w:pPr>
              <w:pStyle w:val="TableContents"/>
              <w:pBdr/>
              <w:bidi w:val="0"/>
              <w:spacing w:lineRule="auto" w:line="285" w:before="0" w:after="0"/>
              <w:ind w:left="0" w:right="0" w:hanging="0"/>
              <w:jc w:val="left"/>
              <w:rPr>
                <w:rFonts w:ascii="Aptos" w:hAnsi="Aptos"/>
                <w:sz w:val="20"/>
              </w:rPr>
            </w:pPr>
            <w:r>
              <w:rPr>
                <w:rFonts w:ascii="Times New Roman;Times;serif" w:hAnsi="Times New Roman;Times;serif"/>
                <w:sz w:val="20"/>
              </w:rPr>
              <w:t>First</w:t>
            </w:r>
            <w:r>
              <w:rPr>
                <w:rFonts w:ascii="Aptos" w:hAnsi="Aptos"/>
                <w:spacing w:val="-2"/>
                <w:sz w:val="20"/>
              </w:rPr>
              <w:t xml:space="preserve"> </w:t>
            </w:r>
            <w:r>
              <w:rPr>
                <w:rFonts w:ascii="Times New Roman;Times;serif" w:hAnsi="Times New Roman;Times;serif"/>
                <w:sz w:val="20"/>
              </w:rPr>
              <w:t>Quarter</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14.45</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14.77</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21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5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12.21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(15.5)</w:t>
            </w:r>
          </w:p>
        </w:tc>
        <w:tc>
          <w:tcPr>
            <w:tcW w:w="361"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249" w:type="dxa"/>
            <w:tcBorders/>
            <w:shd w:fill="CCEEFF" w:val="clear"/>
            <w:vAlign w:val="center"/>
          </w:tcPr>
          <w:p>
            <w:pPr>
              <w:pStyle w:val="TableContents"/>
              <w:bidi w:val="0"/>
              <w:spacing w:lineRule="auto" w:line="328" w:before="0" w:after="160"/>
              <w:ind w:left="0" w:right="0" w:hanging="0"/>
              <w:jc w:val="left"/>
              <w:rPr>
                <w:spacing w:val="-4"/>
              </w:rPr>
            </w:pPr>
            <w:r>
              <w:rPr>
                <w:spacing w:val="-4"/>
              </w:rPr>
              <w:t>​</w:t>
            </w:r>
          </w:p>
        </w:tc>
        <w:tc>
          <w:tcPr>
            <w:tcW w:w="661"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pacing w:val="-4"/>
                <w:sz w:val="20"/>
              </w:rPr>
            </w:pPr>
            <w:r>
              <w:rPr>
                <w:rFonts w:ascii="Times New Roman;Times;serif" w:hAnsi="Times New Roman;Times;serif"/>
                <w:spacing w:val="-4"/>
                <w:sz w:val="20"/>
              </w:rPr>
              <w:t>0.27</w:t>
            </w:r>
          </w:p>
        </w:tc>
      </w:tr>
    </w:tbl>
    <w:tbl>
      <w:tblPr>
        <w:tblW w:w="2942" w:type="dxa"/>
        <w:jc w:val="left"/>
        <w:tblInd w:w="200" w:type="dxa"/>
        <w:tblLayout w:type="fixed"/>
        <w:tblCellMar>
          <w:top w:w="0" w:type="dxa"/>
          <w:left w:w="0" w:type="dxa"/>
          <w:bottom w:w="0" w:type="dxa"/>
          <w:right w:w="0" w:type="dxa"/>
        </w:tblCellMar>
      </w:tblPr>
      <w:tblGrid>
        <w:gridCol w:w="226"/>
        <w:gridCol w:w="2716"/>
      </w:tblGrid>
      <w:tr>
        <w:trPr/>
        <w:tc>
          <w:tcPr>
            <w:tcW w:w="22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w:t>
            </w:r>
          </w:p>
        </w:tc>
        <w:tc>
          <w:tcPr>
            <w:tcW w:w="271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Not determined at time of filing</w:t>
            </w:r>
          </w:p>
        </w:tc>
      </w:tr>
    </w:tbl>
    <w:tbl>
      <w:tblPr>
        <w:tblW w:w="9805" w:type="dxa"/>
        <w:jc w:val="left"/>
        <w:tblInd w:w="200" w:type="dxa"/>
        <w:tblLayout w:type="fixed"/>
        <w:tblCellMar>
          <w:top w:w="0" w:type="dxa"/>
          <w:left w:w="0" w:type="dxa"/>
          <w:bottom w:w="0" w:type="dxa"/>
          <w:right w:w="0" w:type="dxa"/>
        </w:tblCellMar>
      </w:tblPr>
      <w:tblGrid>
        <w:gridCol w:w="312"/>
        <w:gridCol w:w="9493"/>
      </w:tblGrid>
      <w:tr>
        <w:trPr/>
        <w:tc>
          <w:tcPr>
            <w:tcW w:w="31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49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NAV per share is generally determined as of the last day in the relevant quarter and therefore may not reflect the NAV per share on the date of the high and low sales prices. The NAVs shown are based on outstanding shares at the end of each period.</w:t>
            </w:r>
          </w:p>
        </w:tc>
      </w:tr>
    </w:tbl>
    <w:tbl>
      <w:tblPr>
        <w:tblW w:w="9805" w:type="dxa"/>
        <w:jc w:val="left"/>
        <w:tblInd w:w="200" w:type="dxa"/>
        <w:tblLayout w:type="fixed"/>
        <w:tblCellMar>
          <w:top w:w="0" w:type="dxa"/>
          <w:left w:w="0" w:type="dxa"/>
          <w:bottom w:w="0" w:type="dxa"/>
          <w:right w:w="0" w:type="dxa"/>
        </w:tblCellMar>
      </w:tblPr>
      <w:tblGrid>
        <w:gridCol w:w="331"/>
        <w:gridCol w:w="9474"/>
      </w:tblGrid>
      <w:tr>
        <w:trPr/>
        <w:tc>
          <w:tcPr>
            <w:tcW w:w="33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47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Calculated as the respective high or low closing sales price less net asset value, divided by net asset value (in each case, as of the applicable quarter).</w:t>
            </w:r>
          </w:p>
        </w:tc>
      </w:tr>
    </w:tbl>
    <w:tbl>
      <w:tblPr>
        <w:tblW w:w="6287" w:type="dxa"/>
        <w:jc w:val="left"/>
        <w:tblInd w:w="200" w:type="dxa"/>
        <w:tblLayout w:type="fixed"/>
        <w:tblCellMar>
          <w:top w:w="0" w:type="dxa"/>
          <w:left w:w="0" w:type="dxa"/>
          <w:bottom w:w="0" w:type="dxa"/>
          <w:right w:w="0" w:type="dxa"/>
        </w:tblCellMar>
      </w:tblPr>
      <w:tblGrid>
        <w:gridCol w:w="346"/>
        <w:gridCol w:w="5941"/>
      </w:tblGrid>
      <w:tr>
        <w:trPr/>
        <w:tc>
          <w:tcPr>
            <w:tcW w:w="34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(3)</w:t>
            </w:r>
          </w:p>
        </w:tc>
        <w:tc>
          <w:tcPr>
            <w:tcW w:w="594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Represents the dividend or distribution declared in the relevant quarter.</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Distribution Policy</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As a RIC, we must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are subject to a nondeductible 4% U.S. federal excise tax on certain of our undistributed income, unless we timely distribute (or are deemed to have timely distributed) an amount equal to the sum of:</w:t>
      </w:r>
    </w:p>
    <w:tbl>
      <w:tblPr>
        <w:tblW w:w="9411" w:type="dxa"/>
        <w:jc w:val="left"/>
        <w:tblInd w:w="20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98% of our ordinary income (not taking into account any capital gains or losses) for the calendar year;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98.2% of our capital gain net income for a one-year period generally ending on October 31 of the calendar year (unless an election is made by us to use our taxable year);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net ordinary income and capital gain net income that we recognized for preceding years, but were not distributed during such years, and on which we paid no U.S. federal income tax.</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w:t>
      </w:r>
      <w:r>
        <w:rPr>
          <w:rFonts w:ascii="Times New Roman;Times;serif" w:hAnsi="Times New Roman;Times;serif"/>
          <w:i/>
          <w:sz w:val="20"/>
        </w:rPr>
        <w:t>Regulation as a Business Development Company - Senior Securities</w:t>
      </w:r>
      <w:r>
        <w:rPr>
          <w:rFonts w:ascii="Times New Roman;Times;serif" w:hAnsi="Times New Roman;Times;serif"/>
          <w:sz w:val="20"/>
        </w:rPr>
        <w:t>.” In our most recent Annual Report on Form 10-K.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Dividends Declared</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nine months period ended September 30, 2024:</w:t>
      </w:r>
    </w:p>
    <w:tbl>
      <w:tblPr>
        <w:tblW w:w="6742" w:type="dxa"/>
        <w:jc w:val="left"/>
        <w:tblInd w:w="200" w:type="dxa"/>
        <w:tblLayout w:type="fixed"/>
        <w:tblCellMar>
          <w:top w:w="0" w:type="dxa"/>
          <w:left w:w="0" w:type="dxa"/>
          <w:bottom w:w="0" w:type="dxa"/>
          <w:right w:w="0" w:type="dxa"/>
        </w:tblCellMar>
      </w:tblPr>
      <w:tblGrid>
        <w:gridCol w:w="1501"/>
        <w:gridCol w:w="346"/>
        <w:gridCol w:w="1591"/>
        <w:gridCol w:w="346"/>
        <w:gridCol w:w="1591"/>
        <w:gridCol w:w="346"/>
        <w:gridCol w:w="275"/>
        <w:gridCol w:w="746"/>
      </w:tblGrid>
      <w:tr>
        <w:trPr/>
        <w:tc>
          <w:tcPr>
            <w:tcW w:w="1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5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  ​ ​ ​</w:t>
            </w:r>
          </w:p>
        </w:tc>
        <w:tc>
          <w:tcPr>
            <w:tcW w:w="15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Distribution</w:t>
            </w:r>
          </w:p>
        </w:tc>
      </w:tr>
      <w:tr>
        <w:trPr/>
        <w:tc>
          <w:tcPr>
            <w:tcW w:w="1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50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1, 2024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59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12, 2024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59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28, 2024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1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30, 2024</w:t>
            </w:r>
          </w:p>
        </w:tc>
        <w:tc>
          <w:tcPr>
            <w:tcW w:w="346" w:type="dxa"/>
            <w:tcBorders/>
            <w:vAlign w:val="center"/>
          </w:tcPr>
          <w:p>
            <w:pPr>
              <w:pStyle w:val="TableContents"/>
              <w:bidi w:val="0"/>
              <w:spacing w:lineRule="auto" w:line="328" w:before="0" w:after="160"/>
              <w:ind w:left="0" w:right="0" w:hanging="0"/>
              <w:jc w:val="left"/>
              <w:rPr/>
            </w:pPr>
            <w:r>
              <w:rPr/>
              <w:t>​</w:t>
            </w:r>
          </w:p>
        </w:tc>
        <w:tc>
          <w:tcPr>
            <w:tcW w:w="15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10, 2024</w:t>
            </w:r>
          </w:p>
        </w:tc>
        <w:tc>
          <w:tcPr>
            <w:tcW w:w="346" w:type="dxa"/>
            <w:tcBorders/>
            <w:vAlign w:val="center"/>
          </w:tcPr>
          <w:p>
            <w:pPr>
              <w:pStyle w:val="TableContents"/>
              <w:bidi w:val="0"/>
              <w:spacing w:lineRule="auto" w:line="328" w:before="0" w:after="160"/>
              <w:ind w:left="0" w:right="0" w:hanging="0"/>
              <w:jc w:val="left"/>
              <w:rPr/>
            </w:pPr>
            <w:r>
              <w:rPr/>
              <w:t>​</w:t>
            </w:r>
          </w:p>
        </w:tc>
        <w:tc>
          <w:tcPr>
            <w:tcW w:w="15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24, 2024</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1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30, 2024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5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12, 2024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5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26, 2024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0.45</w:t>
            </w:r>
          </w:p>
        </w:tc>
      </w:tr>
    </w:tbl>
    <w:p>
      <w:pPr>
        <w:pStyle w:val="TextBody"/>
        <w:bidi w:val="0"/>
        <w:spacing w:lineRule="auto" w:line="328" w:before="0" w:after="160"/>
        <w:ind w:left="200" w:right="200" w:hanging="0"/>
        <w:jc w:val="left"/>
        <w:rPr/>
      </w:pPr>
      <w:r>
        <w:rPr/>
        <w: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2023:</w:t>
      </w:r>
    </w:p>
    <w:tbl>
      <w:tblPr>
        <w:tblW w:w="7102" w:type="dxa"/>
        <w:jc w:val="left"/>
        <w:tblInd w:w="200" w:type="dxa"/>
        <w:tblLayout w:type="fixed"/>
        <w:tblCellMar>
          <w:top w:w="0" w:type="dxa"/>
          <w:left w:w="0" w:type="dxa"/>
          <w:bottom w:w="0" w:type="dxa"/>
          <w:right w:w="0" w:type="dxa"/>
        </w:tblCellMar>
      </w:tblPr>
      <w:tblGrid>
        <w:gridCol w:w="1621"/>
        <w:gridCol w:w="346"/>
        <w:gridCol w:w="1711"/>
        <w:gridCol w:w="346"/>
        <w:gridCol w:w="1711"/>
        <w:gridCol w:w="346"/>
        <w:gridCol w:w="275"/>
        <w:gridCol w:w="746"/>
      </w:tblGrid>
      <w:tr>
        <w:trPr/>
        <w:tc>
          <w:tcPr>
            <w:tcW w:w="16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6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  ​ ​ ​</w:t>
            </w:r>
          </w:p>
        </w:tc>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Distribution</w:t>
            </w:r>
          </w:p>
        </w:tc>
      </w:tr>
      <w:tr>
        <w:trPr/>
        <w:tc>
          <w:tcPr>
            <w:tcW w:w="16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62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23, 2023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7, 2023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21, 2023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16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2, 2023</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15, 2023</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31, 2023</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16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1, 2023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15, 2023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31, 2023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16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1, 2023</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13, 2023</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28, 2023</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0.46</w:t>
            </w:r>
          </w:p>
        </w:tc>
      </w:tr>
    </w:tbl>
    <w:p>
      <w:pPr>
        <w:pStyle w:val="TextBody"/>
        <w:bidi w:val="0"/>
        <w:spacing w:lineRule="auto" w:line="328" w:before="0" w:after="160"/>
        <w:ind w:left="200" w:right="200" w:hanging="0"/>
        <w:jc w:val="left"/>
        <w:rPr/>
      </w:pPr>
      <w:r>
        <w:rPr/>
        <w: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2022:</w:t>
      </w:r>
    </w:p>
    <w:tbl>
      <w:tblPr>
        <w:tblW w:w="6982" w:type="dxa"/>
        <w:jc w:val="left"/>
        <w:tblInd w:w="200" w:type="dxa"/>
        <w:tblLayout w:type="fixed"/>
        <w:tblCellMar>
          <w:top w:w="0" w:type="dxa"/>
          <w:left w:w="0" w:type="dxa"/>
          <w:bottom w:w="0" w:type="dxa"/>
          <w:right w:w="0" w:type="dxa"/>
        </w:tblCellMar>
      </w:tblPr>
      <w:tblGrid>
        <w:gridCol w:w="1606"/>
        <w:gridCol w:w="346"/>
        <w:gridCol w:w="1606"/>
        <w:gridCol w:w="346"/>
        <w:gridCol w:w="1711"/>
        <w:gridCol w:w="346"/>
        <w:gridCol w:w="275"/>
        <w:gridCol w:w="746"/>
      </w:tblGrid>
      <w:tr>
        <w:trPr/>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60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60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1711"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Distribution</w:t>
            </w:r>
          </w:p>
        </w:tc>
      </w:tr>
      <w:tr>
        <w:trPr/>
        <w:tc>
          <w:tcPr>
            <w:tcW w:w="16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60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February 24, 2022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60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8, 2022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22, 2022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0.27</w:t>
            </w:r>
          </w:p>
        </w:tc>
      </w:tr>
      <w:tr>
        <w:trPr/>
        <w:tc>
          <w:tcPr>
            <w:tcW w:w="16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28, 2022</w:t>
            </w:r>
          </w:p>
        </w:tc>
        <w:tc>
          <w:tcPr>
            <w:tcW w:w="346" w:type="dxa"/>
            <w:tcBorders/>
            <w:vAlign w:val="center"/>
          </w:tcPr>
          <w:p>
            <w:pPr>
              <w:pStyle w:val="TableContents"/>
              <w:bidi w:val="0"/>
              <w:spacing w:lineRule="auto" w:line="328" w:before="0" w:after="160"/>
              <w:ind w:left="0" w:right="0" w:hanging="0"/>
              <w:jc w:val="left"/>
              <w:rPr/>
            </w:pPr>
            <w:r>
              <w:rPr/>
              <w:t>​</w:t>
            </w:r>
          </w:p>
        </w:tc>
        <w:tc>
          <w:tcPr>
            <w:tcW w:w="16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10, 2022</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24, 2022</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0.30</w:t>
            </w:r>
          </w:p>
        </w:tc>
      </w:tr>
      <w:tr>
        <w:trPr/>
        <w:tc>
          <w:tcPr>
            <w:tcW w:w="16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28, 2022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6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9, 2022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23, 2022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0.33</w:t>
            </w:r>
          </w:p>
        </w:tc>
      </w:tr>
      <w:tr>
        <w:trPr/>
        <w:tc>
          <w:tcPr>
            <w:tcW w:w="16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27, 2022</w:t>
            </w:r>
          </w:p>
        </w:tc>
        <w:tc>
          <w:tcPr>
            <w:tcW w:w="346" w:type="dxa"/>
            <w:tcBorders/>
            <w:vAlign w:val="center"/>
          </w:tcPr>
          <w:p>
            <w:pPr>
              <w:pStyle w:val="TableContents"/>
              <w:bidi w:val="0"/>
              <w:spacing w:lineRule="auto" w:line="328" w:before="0" w:after="160"/>
              <w:ind w:left="0" w:right="0" w:hanging="0"/>
              <w:jc w:val="left"/>
              <w:rPr/>
            </w:pPr>
            <w:r>
              <w:rPr/>
              <w:t>​</w:t>
            </w:r>
          </w:p>
        </w:tc>
        <w:tc>
          <w:tcPr>
            <w:tcW w:w="16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8, 2022</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22, 2022</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0.36</w:t>
            </w:r>
          </w:p>
        </w:tc>
      </w:tr>
    </w:tbl>
    <w:p>
      <w:pPr>
        <w:pStyle w:val="TextBody"/>
        <w:bidi w:val="0"/>
        <w:spacing w:lineRule="auto" w:line="328" w:before="0" w:after="160"/>
        <w:ind w:left="200" w:right="200" w:hanging="0"/>
        <w:jc w:val="left"/>
        <w:rPr/>
      </w:pPr>
      <w:r>
        <w:rPr/>
        <w: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2021:</w:t>
      </w:r>
    </w:p>
    <w:tbl>
      <w:tblPr>
        <w:tblW w:w="6907" w:type="dxa"/>
        <w:jc w:val="left"/>
        <w:tblInd w:w="200" w:type="dxa"/>
        <w:tblLayout w:type="fixed"/>
        <w:tblCellMar>
          <w:top w:w="0" w:type="dxa"/>
          <w:left w:w="0" w:type="dxa"/>
          <w:bottom w:w="0" w:type="dxa"/>
          <w:right w:w="0" w:type="dxa"/>
        </w:tblCellMar>
      </w:tblPr>
      <w:tblGrid>
        <w:gridCol w:w="1531"/>
        <w:gridCol w:w="346"/>
        <w:gridCol w:w="1606"/>
        <w:gridCol w:w="346"/>
        <w:gridCol w:w="1711"/>
        <w:gridCol w:w="346"/>
        <w:gridCol w:w="275"/>
        <w:gridCol w:w="746"/>
      </w:tblGrid>
      <w:tr>
        <w:trPr/>
        <w:tc>
          <w:tcPr>
            <w:tcW w:w="15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53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60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1711"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Distribution</w:t>
            </w:r>
          </w:p>
        </w:tc>
      </w:tr>
      <w:tr>
        <w:trPr/>
        <w:tc>
          <w:tcPr>
            <w:tcW w:w="15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53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4, 2021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60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5, 2021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19, 2021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0.37</w:t>
            </w:r>
          </w:p>
        </w:tc>
      </w:tr>
      <w:tr>
        <w:trPr/>
        <w:tc>
          <w:tcPr>
            <w:tcW w:w="15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29, 2021</w:t>
            </w:r>
          </w:p>
        </w:tc>
        <w:tc>
          <w:tcPr>
            <w:tcW w:w="346" w:type="dxa"/>
            <w:tcBorders/>
            <w:vAlign w:val="center"/>
          </w:tcPr>
          <w:p>
            <w:pPr>
              <w:pStyle w:val="TableContents"/>
              <w:bidi w:val="0"/>
              <w:spacing w:lineRule="auto" w:line="328" w:before="0" w:after="160"/>
              <w:ind w:left="0" w:right="0" w:hanging="0"/>
              <w:jc w:val="left"/>
              <w:rPr/>
            </w:pPr>
            <w:r>
              <w:rPr/>
              <w:t>​</w:t>
            </w:r>
          </w:p>
        </w:tc>
        <w:tc>
          <w:tcPr>
            <w:tcW w:w="16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April 30, 2021</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13, 2021</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0.37</w:t>
            </w:r>
          </w:p>
        </w:tc>
      </w:tr>
      <w:tr>
        <w:trPr/>
        <w:tc>
          <w:tcPr>
            <w:tcW w:w="15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19, 2021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6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 2021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12, 2021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0.34</w:t>
            </w:r>
          </w:p>
        </w:tc>
      </w:tr>
      <w:tr>
        <w:trPr/>
        <w:tc>
          <w:tcPr>
            <w:tcW w:w="15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28, 2021</w:t>
            </w:r>
          </w:p>
        </w:tc>
        <w:tc>
          <w:tcPr>
            <w:tcW w:w="346" w:type="dxa"/>
            <w:tcBorders/>
            <w:vAlign w:val="center"/>
          </w:tcPr>
          <w:p>
            <w:pPr>
              <w:pStyle w:val="TableContents"/>
              <w:bidi w:val="0"/>
              <w:spacing w:lineRule="auto" w:line="328" w:before="0" w:after="160"/>
              <w:ind w:left="0" w:right="0" w:hanging="0"/>
              <w:jc w:val="left"/>
              <w:rPr/>
            </w:pPr>
            <w:r>
              <w:rPr/>
              <w:t>​</w:t>
            </w:r>
          </w:p>
        </w:tc>
        <w:tc>
          <w:tcPr>
            <w:tcW w:w="16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8, 2021</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22, 2021</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0.25</w:t>
            </w:r>
          </w:p>
        </w:tc>
      </w:tr>
    </w:tbl>
    <w:p>
      <w:pPr>
        <w:pStyle w:val="TextBody"/>
        <w:bidi w:val="0"/>
        <w:spacing w:lineRule="auto" w:line="328" w:before="0" w:after="160"/>
        <w:ind w:left="200" w:right="200" w:hanging="0"/>
        <w:jc w:val="left"/>
        <w:rPr/>
      </w:pPr>
      <w:r>
        <w:rPr/>
        <w: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2020:</w:t>
      </w:r>
    </w:p>
    <w:tbl>
      <w:tblPr>
        <w:tblW w:w="6607" w:type="dxa"/>
        <w:jc w:val="left"/>
        <w:tblInd w:w="200" w:type="dxa"/>
        <w:tblLayout w:type="fixed"/>
        <w:tblCellMar>
          <w:top w:w="0" w:type="dxa"/>
          <w:left w:w="0" w:type="dxa"/>
          <w:bottom w:w="0" w:type="dxa"/>
          <w:right w:w="0" w:type="dxa"/>
        </w:tblCellMar>
      </w:tblPr>
      <w:tblGrid>
        <w:gridCol w:w="1426"/>
        <w:gridCol w:w="346"/>
        <w:gridCol w:w="1411"/>
        <w:gridCol w:w="346"/>
        <w:gridCol w:w="1711"/>
        <w:gridCol w:w="346"/>
        <w:gridCol w:w="275"/>
        <w:gridCol w:w="746"/>
      </w:tblGrid>
      <w:tr>
        <w:trPr/>
        <w:tc>
          <w:tcPr>
            <w:tcW w:w="1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411"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1711"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Distribution</w:t>
            </w:r>
          </w:p>
        </w:tc>
      </w:tr>
      <w:tr>
        <w:trPr/>
        <w:tc>
          <w:tcPr>
            <w:tcW w:w="14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42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5, 2021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4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6, 2020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20, 2020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7, 2020</w:t>
            </w:r>
          </w:p>
        </w:tc>
        <w:tc>
          <w:tcPr>
            <w:tcW w:w="346" w:type="dxa"/>
            <w:tcBorders/>
            <w:vAlign w:val="center"/>
          </w:tcPr>
          <w:p>
            <w:pPr>
              <w:pStyle w:val="TableContents"/>
              <w:bidi w:val="0"/>
              <w:spacing w:lineRule="auto" w:line="328" w:before="0" w:after="160"/>
              <w:ind w:left="0" w:right="0" w:hanging="0"/>
              <w:jc w:val="left"/>
              <w:rPr/>
            </w:pPr>
            <w:r>
              <w:rPr/>
              <w:t>​</w:t>
            </w:r>
          </w:p>
        </w:tc>
        <w:tc>
          <w:tcPr>
            <w:tcW w:w="14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8, 2020</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21, 2020</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0.35</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5, 2020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4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6, 2020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20, 2020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0.36</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1, 2020</w:t>
            </w:r>
          </w:p>
        </w:tc>
        <w:tc>
          <w:tcPr>
            <w:tcW w:w="346" w:type="dxa"/>
            <w:tcBorders/>
            <w:vAlign w:val="center"/>
          </w:tcPr>
          <w:p>
            <w:pPr>
              <w:pStyle w:val="TableContents"/>
              <w:bidi w:val="0"/>
              <w:spacing w:lineRule="auto" w:line="328" w:before="0" w:after="160"/>
              <w:ind w:left="0" w:right="0" w:hanging="0"/>
              <w:jc w:val="left"/>
              <w:rPr/>
            </w:pPr>
            <w:r>
              <w:rPr/>
              <w:t>​</w:t>
            </w:r>
          </w:p>
        </w:tc>
        <w:tc>
          <w:tcPr>
            <w:tcW w:w="14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1, 2020</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12, 2020</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0.38</w:t>
            </w:r>
          </w:p>
        </w:tc>
      </w:tr>
    </w:tbl>
    <w:p>
      <w:pPr>
        <w:pStyle w:val="TextBody"/>
        <w:bidi w:val="0"/>
        <w:spacing w:lineRule="auto" w:line="328" w:before="0" w:after="160"/>
        <w:ind w:left="200" w:right="200" w:hanging="0"/>
        <w:jc w:val="left"/>
        <w:rPr/>
      </w:pPr>
      <w:r>
        <w:rPr/>
        <w:t>​</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2019:</w:t>
      </w:r>
    </w:p>
    <w:tbl>
      <w:tblPr>
        <w:tblW w:w="7237" w:type="dxa"/>
        <w:jc w:val="left"/>
        <w:tblInd w:w="200" w:type="dxa"/>
        <w:tblLayout w:type="fixed"/>
        <w:tblCellMar>
          <w:top w:w="0" w:type="dxa"/>
          <w:left w:w="0" w:type="dxa"/>
          <w:bottom w:w="0" w:type="dxa"/>
          <w:right w:w="0" w:type="dxa"/>
        </w:tblCellMar>
      </w:tblPr>
      <w:tblGrid>
        <w:gridCol w:w="1741"/>
        <w:gridCol w:w="346"/>
        <w:gridCol w:w="1726"/>
        <w:gridCol w:w="346"/>
        <w:gridCol w:w="1711"/>
        <w:gridCol w:w="346"/>
        <w:gridCol w:w="275"/>
        <w:gridCol w:w="746"/>
      </w:tblGrid>
      <w:tr>
        <w:trPr/>
        <w:tc>
          <w:tcPr>
            <w:tcW w:w="17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  ​ ​ ​</w:t>
            </w:r>
          </w:p>
        </w:tc>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Distribution</w:t>
            </w:r>
          </w:p>
        </w:tc>
      </w:tr>
      <w:tr>
        <w:trPr/>
        <w:tc>
          <w:tcPr>
            <w:tcW w:w="17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74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22, 2019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2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22, 2019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26, 2019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17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March 22, 2019</w:t>
            </w:r>
          </w:p>
        </w:tc>
        <w:tc>
          <w:tcPr>
            <w:tcW w:w="346" w:type="dxa"/>
            <w:tcBorders/>
            <w:vAlign w:val="center"/>
          </w:tcPr>
          <w:p>
            <w:pPr>
              <w:pStyle w:val="TableContents"/>
              <w:bidi w:val="0"/>
              <w:spacing w:lineRule="auto" w:line="328" w:before="0" w:after="160"/>
              <w:ind w:left="0" w:right="0" w:hanging="0"/>
              <w:jc w:val="left"/>
              <w:rPr/>
            </w:pPr>
            <w:r>
              <w:rPr/>
              <w:t>​</w:t>
            </w:r>
          </w:p>
        </w:tc>
        <w:tc>
          <w:tcPr>
            <w:tcW w:w="1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7, 2019</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21, 2019</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17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2, 2019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31, 2019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16, 2019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0.46</w:t>
            </w:r>
          </w:p>
        </w:tc>
      </w:tr>
      <w:tr>
        <w:trPr/>
        <w:tc>
          <w:tcPr>
            <w:tcW w:w="17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30, 2019</w:t>
            </w:r>
          </w:p>
        </w:tc>
        <w:tc>
          <w:tcPr>
            <w:tcW w:w="346" w:type="dxa"/>
            <w:tcBorders/>
            <w:vAlign w:val="center"/>
          </w:tcPr>
          <w:p>
            <w:pPr>
              <w:pStyle w:val="TableContents"/>
              <w:bidi w:val="0"/>
              <w:spacing w:lineRule="auto" w:line="328" w:before="0" w:after="160"/>
              <w:ind w:left="0" w:right="0" w:hanging="0"/>
              <w:jc w:val="left"/>
              <w:rPr/>
            </w:pPr>
            <w:r>
              <w:rPr/>
              <w:t>​</w:t>
            </w:r>
          </w:p>
        </w:tc>
        <w:tc>
          <w:tcPr>
            <w:tcW w:w="1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8, 2019</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26, 2019</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0.45</w:t>
            </w:r>
          </w:p>
        </w:tc>
      </w:tr>
      <w:tr>
        <w:trPr/>
        <w:tc>
          <w:tcPr>
            <w:tcW w:w="17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September 27, 2019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September 30, 2019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12, 2019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17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December 9, 2019</w:t>
            </w:r>
          </w:p>
        </w:tc>
        <w:tc>
          <w:tcPr>
            <w:tcW w:w="346" w:type="dxa"/>
            <w:tcBorders/>
            <w:vAlign w:val="center"/>
          </w:tcPr>
          <w:p>
            <w:pPr>
              <w:pStyle w:val="TableContents"/>
              <w:bidi w:val="0"/>
              <w:spacing w:lineRule="auto" w:line="328" w:before="0" w:after="160"/>
              <w:ind w:left="0" w:right="0" w:hanging="0"/>
              <w:jc w:val="left"/>
              <w:rPr/>
            </w:pPr>
            <w:r>
              <w:rPr/>
              <w:t>​</w:t>
            </w:r>
          </w:p>
        </w:tc>
        <w:tc>
          <w:tcPr>
            <w:tcW w:w="17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December 10, 2019</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December 23, 2019</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0.40</w:t>
            </w:r>
          </w:p>
        </w:tc>
      </w:tr>
    </w:tbl>
    <w:p>
      <w:pPr>
        <w:pStyle w:val="TextBody"/>
        <w:bidi w:val="0"/>
        <w:spacing w:lineRule="auto" w:line="328" w:before="0" w:after="160"/>
        <w:ind w:left="200" w:right="200" w:hanging="0"/>
        <w:jc w:val="left"/>
        <w:rPr/>
      </w:pPr>
      <w:r>
        <w:rPr/>
        <w: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table reflects the distributions declared on shares of our common stock during the year ended December 31, 2018:</w:t>
      </w:r>
    </w:p>
    <w:tbl>
      <w:tblPr>
        <w:tblW w:w="6907" w:type="dxa"/>
        <w:jc w:val="left"/>
        <w:tblInd w:w="200" w:type="dxa"/>
        <w:tblLayout w:type="fixed"/>
        <w:tblCellMar>
          <w:top w:w="0" w:type="dxa"/>
          <w:left w:w="0" w:type="dxa"/>
          <w:bottom w:w="0" w:type="dxa"/>
          <w:right w:w="0" w:type="dxa"/>
        </w:tblCellMar>
      </w:tblPr>
      <w:tblGrid>
        <w:gridCol w:w="1621"/>
        <w:gridCol w:w="346"/>
        <w:gridCol w:w="1516"/>
        <w:gridCol w:w="346"/>
        <w:gridCol w:w="1711"/>
        <w:gridCol w:w="346"/>
        <w:gridCol w:w="275"/>
        <w:gridCol w:w="746"/>
      </w:tblGrid>
      <w:tr>
        <w:trPr/>
        <w:tc>
          <w:tcPr>
            <w:tcW w:w="16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6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51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1711"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Distribution</w:t>
            </w:r>
          </w:p>
        </w:tc>
      </w:tr>
      <w:tr>
        <w:trPr/>
        <w:tc>
          <w:tcPr>
            <w:tcW w:w="16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Date Declared</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Record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Payment Date</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62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3, 2018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51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15, 2018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31, 2018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16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26, 2018</w:t>
            </w:r>
          </w:p>
        </w:tc>
        <w:tc>
          <w:tcPr>
            <w:tcW w:w="346" w:type="dxa"/>
            <w:tcBorders/>
            <w:vAlign w:val="center"/>
          </w:tcPr>
          <w:p>
            <w:pPr>
              <w:pStyle w:val="TableContents"/>
              <w:bidi w:val="0"/>
              <w:spacing w:lineRule="auto" w:line="328" w:before="0" w:after="160"/>
              <w:ind w:left="0" w:right="0" w:hanging="0"/>
              <w:jc w:val="left"/>
              <w:rPr/>
            </w:pPr>
            <w:r>
              <w:rPr/>
              <w:t>​</w:t>
            </w:r>
          </w:p>
        </w:tc>
        <w:tc>
          <w:tcPr>
            <w:tcW w:w="15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15, 2018</w:t>
            </w:r>
          </w:p>
        </w:tc>
        <w:tc>
          <w:tcPr>
            <w:tcW w:w="346" w:type="dxa"/>
            <w:tcBorders/>
            <w:vAlign w:val="center"/>
          </w:tcPr>
          <w:p>
            <w:pPr>
              <w:pStyle w:val="TableContents"/>
              <w:bidi w:val="0"/>
              <w:spacing w:lineRule="auto" w:line="328" w:before="0" w:after="160"/>
              <w:ind w:left="0" w:right="0" w:hanging="0"/>
              <w:jc w:val="left"/>
              <w:rPr/>
            </w:pPr>
            <w:r>
              <w:rPr/>
              <w:t>​</w:t>
            </w:r>
          </w:p>
        </w:tc>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31, 2018</w:t>
            </w:r>
          </w:p>
        </w:tc>
        <w:tc>
          <w:tcPr>
            <w:tcW w:w="346" w:type="dxa"/>
            <w:tcBorders/>
            <w:vAlign w:val="center"/>
          </w:tcPr>
          <w:p>
            <w:pPr>
              <w:pStyle w:val="TableContents"/>
              <w:bidi w:val="0"/>
              <w:spacing w:lineRule="auto" w:line="328" w:before="0" w:after="16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16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1, 2018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5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31, 2018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7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November 15, 2018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0.35</w:t>
            </w:r>
          </w:p>
        </w:tc>
      </w:tr>
    </w:tbl>
    <w:p>
      <w:pPr>
        <w:pStyle w:val="TextBody"/>
        <w:bidi w:val="0"/>
        <w:spacing w:lineRule="auto" w:line="328" w:before="0" w:after="160"/>
        <w:ind w:left="200" w:right="200" w:hanging="0"/>
        <w:jc w:val="left"/>
        <w:rPr/>
      </w:pPr>
      <w:r>
        <w:rPr/>
        <w:t>​</w:t>
      </w:r>
    </w:p>
    <w:p>
      <w:pPr>
        <w:pStyle w:val="TextBody"/>
        <w:bidi w:val="0"/>
        <w:spacing w:lineRule="auto" w:line="285" w:before="0" w:after="240"/>
        <w:ind w:left="200" w:right="200" w:hanging="0"/>
        <w:jc w:val="left"/>
        <w:rPr>
          <w:rFonts w:ascii="Times New Roman;Times;serif" w:hAnsi="Times New Roman;Times;serif"/>
          <w:i/>
          <w:sz w:val="20"/>
        </w:rPr>
      </w:pPr>
      <w:r>
        <w:rPr>
          <w:rFonts w:ascii="Times New Roman;Times;serif" w:hAnsi="Times New Roman;Times;serif"/>
          <w:i/>
          <w:sz w:val="20"/>
        </w:rPr>
        <w:t>Dividend Reinvestment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We have adopted an “opt out” dividend reinvestment plan for our stockholders. See </w:t>
      </w:r>
      <w:r>
        <w:rPr>
          <w:rFonts w:ascii="Aptos" w:hAnsi="Aptos"/>
          <w:sz w:val="20"/>
        </w:rPr>
        <w:t>“</w:t>
      </w:r>
      <w:r>
        <w:rPr>
          <w:rFonts w:ascii="Times New Roman;Times;serif" w:hAnsi="Times New Roman;Times;serif"/>
          <w:i/>
          <w:sz w:val="20"/>
        </w:rPr>
        <w:t>Dividend Reinvestment Plan.”</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200" w:right="200" w:hanging="0"/>
        <w:jc w:val="center"/>
        <w:rPr>
          <w:rFonts w:ascii="Times New Roman;Times;serif" w:hAnsi="Times New Roman;Times;serif"/>
          <w:b/>
          <w:sz w:val="20"/>
        </w:rPr>
      </w:pPr>
      <w:bookmarkStart w:id="180" w:name="MANAGEMENTSDISCUSSIONANDANALYSISOFFINANC"/>
      <w:bookmarkStart w:id="181" w:name="_232b9f92_3ff0_498b_bceb_951513e705da"/>
      <w:bookmarkEnd w:id="180"/>
      <w:bookmarkEnd w:id="181"/>
      <w:r>
        <w:rPr>
          <w:rFonts w:ascii="Times New Roman;Times;serif" w:hAnsi="Times New Roman;Times;serif"/>
          <w:b/>
          <w:sz w:val="20"/>
        </w:rPr>
        <w:t>MANAGEMENT’S DISCUSSION AND ANALYSIS OF FINANCIAL CONDITION AND</w:t>
      </w:r>
    </w:p>
    <w:p>
      <w:pPr>
        <w:pStyle w:val="TextBody"/>
        <w:bidi w:val="0"/>
        <w:spacing w:lineRule="auto" w:line="285" w:before="0" w:after="240"/>
        <w:ind w:left="200" w:right="20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The information contained in “</w:t>
      </w:r>
      <w:r>
        <w:rPr>
          <w:rFonts w:ascii="Times New Roman;Times;serif" w:hAnsi="Times New Roman;Times;serif"/>
          <w:i/>
          <w:sz w:val="20"/>
        </w:rPr>
        <w:t>Part II, Item 7. Management’s Discussion and Analysis of Financial Condition and Results of Operations</w:t>
      </w:r>
      <w:r>
        <w:rPr>
          <w:rFonts w:ascii="Aptos" w:hAnsi="Aptos"/>
          <w:sz w:val="20"/>
        </w:rPr>
        <w:t xml:space="preserve">” </w:t>
      </w:r>
      <w:r>
        <w:rPr>
          <w:rFonts w:ascii="Times New Roman;Times;serif" w:hAnsi="Times New Roman;Times;serif"/>
          <w:sz w:val="20"/>
        </w:rPr>
        <w:t>of our most recent Annual Report on Form 10-K and in “</w:t>
      </w:r>
      <w:r>
        <w:rPr>
          <w:rFonts w:ascii="Times New Roman;Times;serif" w:hAnsi="Times New Roman;Times;serif"/>
          <w:i/>
          <w:sz w:val="20"/>
        </w:rPr>
        <w:t>Part I, Item 2. Management’s Discussion and Analysis of Financial Condition and Results of Operations</w:t>
      </w:r>
      <w:r>
        <w:rPr>
          <w:rFonts w:ascii="Aptos" w:hAnsi="Aptos"/>
          <w:sz w:val="20"/>
        </w:rPr>
        <w:t xml:space="preserve">” </w:t>
      </w:r>
      <w:r>
        <w:rPr>
          <w:rFonts w:ascii="Times New Roman;Times;serif" w:hAnsi="Times New Roman;Times;serif"/>
          <w:sz w:val="20"/>
        </w:rPr>
        <w:t>of our most recent Quarterly Report on Form 10-Q are incorporated by reference herein and should be read in conjunction with, and are qualified by reference to, our financial statements and notes thereto included in such Annual Report on Form 10-K and such Quarterly Report on Form 10-Q, as applicable.</w:t>
      </w:r>
    </w:p>
    <w:p>
      <w:pPr>
        <w:pStyle w:val="TextBody"/>
        <w:bidi w:val="0"/>
        <w:spacing w:lineRule="auto" w:line="285" w:before="0" w:after="240"/>
        <w:ind w:left="200" w:right="200" w:hanging="0"/>
        <w:jc w:val="center"/>
        <w:rPr>
          <w:rFonts w:ascii="Times New Roman;Times;serif" w:hAnsi="Times New Roman;Times;serif"/>
          <w:b/>
          <w:sz w:val="20"/>
        </w:rPr>
      </w:pPr>
      <w:bookmarkStart w:id="182" w:name="BUSINESS_283682"/>
      <w:bookmarkStart w:id="183" w:name="_6435fe13_33cc_4d66_969f_b02cc7dad192"/>
      <w:bookmarkEnd w:id="182"/>
      <w:bookmarkEnd w:id="183"/>
      <w:r>
        <w:rPr>
          <w:rFonts w:ascii="Times New Roman;Times;serif" w:hAnsi="Times New Roman;Times;serif"/>
          <w:b/>
          <w:sz w:val="20"/>
        </w:rPr>
        <w:t>BUSINESS</w:t>
      </w:r>
    </w:p>
    <w:p>
      <w:pPr>
        <w:pStyle w:val="TextBody"/>
        <w:bidi w:val="0"/>
        <w:spacing w:lineRule="auto" w:line="285" w:before="0" w:after="0"/>
        <w:ind w:left="200" w:right="200" w:firstLine="360"/>
        <w:jc w:val="left"/>
        <w:rPr>
          <w:rFonts w:ascii="Aptos" w:hAnsi="Aptos"/>
          <w:sz w:val="20"/>
        </w:rPr>
      </w:pPr>
      <w:r>
        <w:rPr>
          <w:rFonts w:ascii="Times New Roman;Times;serif" w:hAnsi="Times New Roman;Times;serif"/>
          <w:sz w:val="20"/>
        </w:rPr>
        <w:t>The information contained in “</w:t>
      </w:r>
      <w:r>
        <w:rPr>
          <w:rFonts w:ascii="Times New Roman;Times;serif" w:hAnsi="Times New Roman;Times;serif"/>
          <w:i/>
          <w:sz w:val="20"/>
        </w:rPr>
        <w:t>Part I, Item 1. Business</w:t>
      </w:r>
      <w:r>
        <w:rPr>
          <w:rFonts w:ascii="Times New Roman;Times;serif" w:hAnsi="Times New Roman;Times;serif"/>
          <w:sz w:val="20"/>
        </w:rPr>
        <w:t>,” “</w:t>
      </w:r>
      <w:r>
        <w:rPr>
          <w:rFonts w:ascii="Times New Roman;Times;serif" w:hAnsi="Times New Roman;Times;serif"/>
          <w:i/>
          <w:sz w:val="20"/>
        </w:rPr>
        <w:t>Part I, Item 2. Properties</w:t>
      </w:r>
      <w:r>
        <w:rPr>
          <w:rFonts w:ascii="Aptos" w:hAnsi="Aptos"/>
          <w:sz w:val="20"/>
        </w:rPr>
        <w:t xml:space="preserve">” </w:t>
      </w:r>
      <w:r>
        <w:rPr>
          <w:rFonts w:ascii="Times New Roman;Times;serif" w:hAnsi="Times New Roman;Times;serif"/>
          <w:sz w:val="20"/>
        </w:rPr>
        <w:t>and “</w:t>
      </w:r>
      <w:r>
        <w:rPr>
          <w:rFonts w:ascii="Times New Roman;Times;serif" w:hAnsi="Times New Roman;Times;serif"/>
          <w:i/>
          <w:sz w:val="20"/>
        </w:rPr>
        <w:t>Part I, Item 3. Legal Proceedings</w:t>
      </w:r>
      <w:r>
        <w:rPr>
          <w:rFonts w:ascii="Aptos" w:hAnsi="Aptos"/>
          <w:sz w:val="20"/>
        </w:rPr>
        <w:t xml:space="preserve">” </w:t>
      </w:r>
      <w:r>
        <w:rPr>
          <w:rFonts w:ascii="Times New Roman;Times;serif" w:hAnsi="Times New Roman;Times;serif"/>
          <w:sz w:val="20"/>
        </w:rPr>
        <w:t>of our most recent Annual Report on Form 10-K, and in “</w:t>
      </w:r>
      <w:r>
        <w:rPr>
          <w:rFonts w:ascii="Times New Roman;Times;serif" w:hAnsi="Times New Roman;Times;serif"/>
          <w:i/>
          <w:sz w:val="20"/>
        </w:rPr>
        <w:t>Part II, Item 1. Legal Proceedings</w:t>
      </w:r>
      <w:r>
        <w:rPr>
          <w:rFonts w:ascii="Aptos" w:hAnsi="Aptos"/>
          <w:sz w:val="20"/>
        </w:rPr>
        <w:t xml:space="preserve">” </w:t>
      </w:r>
      <w:r>
        <w:rPr>
          <w:rFonts w:ascii="Times New Roman;Times;serif" w:hAnsi="Times New Roman;Times;serif"/>
          <w:sz w:val="20"/>
        </w:rPr>
        <w:t>of our most recent Quarterly Report on Form 10-Q are incorporated herein by reference.</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184" w:name="Tc_XTDqL40DT0eSGmp9XQ1TIw_44_10"/>
      <w:bookmarkStart w:id="185" w:name="Tc_o3cPYByJdk62Aq1gT_2wWQ_44_8"/>
      <w:bookmarkStart w:id="186" w:name="Tc_8Lsnrbg42UGjQsASiF3UYg_44_5"/>
      <w:bookmarkStart w:id="187" w:name="Tc_KcFj5S0tIE6uxW00P__Oqw_44_2"/>
      <w:bookmarkStart w:id="188" w:name="Tc_SLioc63CU0-4Ld3764IRtg_44_0"/>
      <w:bookmarkStart w:id="189" w:name="Tc_pL-LlgU7j0uKJtJwUyQ0HQ_43_10"/>
      <w:bookmarkStart w:id="190" w:name="Tc_jRAJ4M-j1UCkKNe923A5-A_43_8"/>
      <w:bookmarkStart w:id="191" w:name="Tc_V67KwQQHTU6JuBuU-aj9rQ_43_5"/>
      <w:bookmarkStart w:id="192" w:name="Tc_I9bAYHxGnUSlawebxuv_EA_43_2"/>
      <w:bookmarkStart w:id="193" w:name="Tc_WFTtZ03p6EeBwpodTnd07g_43_0"/>
      <w:bookmarkStart w:id="194" w:name="Tc_jrEc6k3I0EGJaRLiq-ODCQ_42_10"/>
      <w:bookmarkStart w:id="195" w:name="Tc_-SZJnQRc2kSOJw7vcIRWUQ_42_8"/>
      <w:bookmarkStart w:id="196" w:name="Tc_zJZAeUJqO0ee9mliMkm_Jw_42_5"/>
      <w:bookmarkStart w:id="197" w:name="Tc_a_FkGlTQxkiy2sZzoiNQUA_42_2"/>
      <w:bookmarkStart w:id="198" w:name="Tc_g-ufl8CJZUeblsqOIfQfJA_42_0"/>
      <w:bookmarkStart w:id="199" w:name="Tc_ICN1GtOM7EuvSkd165y_pQ_41_10"/>
      <w:bookmarkStart w:id="200" w:name="Tc_XRuPu-TvqUCvLfBDXz8Wbw_41_8"/>
      <w:bookmarkStart w:id="201" w:name="Tc_8K8BJTY-1k6hLfGxv4d8RQ_41_5"/>
      <w:bookmarkStart w:id="202" w:name="Tc__txMqMYh6kuo12V2R4BP7A_41_2"/>
      <w:bookmarkStart w:id="203" w:name="Tc_qtpRjfQQckmtER5dpmtvRw_41_0"/>
      <w:bookmarkStart w:id="204" w:name="Tc_TMoqUoE4eUWCAA4Trgh3cQ_40_10"/>
      <w:bookmarkStart w:id="205" w:name="Tc_RPA05Sr28UGjVSAXKe_zDw_40_8"/>
      <w:bookmarkStart w:id="206" w:name="Tc_br7TjCnno0mMeFBJnWGb7w_40_5"/>
      <w:bookmarkStart w:id="207" w:name="Tc_wAQ0HxMDb0a4VLjxgAvU3w_40_2"/>
      <w:bookmarkStart w:id="208" w:name="Tc_ddm_FTVWZ0q-RKzbkn-o1Q_40_0"/>
      <w:bookmarkStart w:id="209" w:name="Tc_6o89tzBUqUyeTZo0hWfiwA_39_10"/>
      <w:bookmarkStart w:id="210" w:name="Tc_Ss2fqCGGr0igEPEOliJmZA_39_8"/>
      <w:bookmarkStart w:id="211" w:name="Tc_JkzjdzsJ8EeF6Gbo-PWWDw_39_5"/>
      <w:bookmarkStart w:id="212" w:name="Tc_xkPTbekQyEOMEihNpfFyHg_39_2"/>
      <w:bookmarkStart w:id="213" w:name="Tc_1z7eUGOKckiZU_F7LCRnJw_39_0"/>
      <w:bookmarkStart w:id="214" w:name="Tc_I_32ycV-5kyfPqmriCl_TA_38_10"/>
      <w:bookmarkStart w:id="215" w:name="Tc_PVrOQm-Hy0uWuXEgeSd3xA_38_8"/>
      <w:bookmarkStart w:id="216" w:name="Tc_BCWTCj-2jEOdxK4mVJel9w_38_5"/>
      <w:bookmarkStart w:id="217" w:name="Tc_GcCpvtGTDUeNMSvpsraZ2Q_38_2"/>
      <w:bookmarkStart w:id="218" w:name="Tc_I6z1bY77vEufSx9JmvIRwA_38_0"/>
      <w:bookmarkStart w:id="219" w:name="Tc_cmZQR_5EWUqR5RhEt5gARA_37_0"/>
      <w:bookmarkStart w:id="220" w:name="Tc_M102bZ1zWUS4UdyDufKL9A_36_10"/>
      <w:bookmarkStart w:id="221" w:name="Tc_EFmHspoHN0W3PPHUv6aXTQ_36_8"/>
      <w:bookmarkStart w:id="222" w:name="Tc_6LXAoOYdhUW0Dl2WwYYnuQ_36_5"/>
      <w:bookmarkStart w:id="223" w:name="Tc_zdlsvvWCkUCSPtPIRgV2gA_36_2"/>
      <w:bookmarkStart w:id="224" w:name="Tc_J53a2dwz5E21Yrc3Edbk0g_36_0"/>
      <w:bookmarkStart w:id="225" w:name="Tc_MKCVRoJASUaUPlUoS0cgEA_35_10"/>
      <w:bookmarkStart w:id="226" w:name="Tc_Ic7ZJMqOHke5y5xB1XDyUg_35_8"/>
      <w:bookmarkStart w:id="227" w:name="Tc_zdvzf5sITUSDXzRjdG-T_g_35_6"/>
      <w:bookmarkStart w:id="228" w:name="Tc_WkR3LmruRkOvuexago9UqA_35_5"/>
      <w:bookmarkStart w:id="229" w:name="Tc_Bxi6DTj5C0i-7Sa1imvnLg_35_3"/>
      <w:bookmarkStart w:id="230" w:name="Tc_rVMREEb_00uQipAI6SKu0w_35_2"/>
      <w:bookmarkStart w:id="231" w:name="Tc__KfDznzgCk-1eYL-fIduDA_35_0"/>
      <w:bookmarkStart w:id="232" w:name="Tc_ZuzmkPxgNEqzk0Rc6u4gSw_34_10"/>
      <w:bookmarkStart w:id="233" w:name="Tc_pqHxB3fg8kitTtdhr1au_w_34_8"/>
      <w:bookmarkStart w:id="234" w:name="Tc_ibZOJ5Yg0UazJ1NxnOxzNg_34_6"/>
      <w:bookmarkStart w:id="235" w:name="Tc_p-OaGmydLEeK9RARL3F4Nw_34_5"/>
      <w:bookmarkStart w:id="236" w:name="Tc_HktIrZ05Rk-OLeSBr2X4lA_34_3"/>
      <w:bookmarkStart w:id="237" w:name="Tc_TqOlJEV2NUi5U05ryEByTw_34_2"/>
      <w:bookmarkStart w:id="238" w:name="Tc_lj8GkBJ5f0qYltpHUoc37Q_34_0"/>
      <w:bookmarkStart w:id="239" w:name="Tc_R8EEAgKJBkOq5CbujX-YlA_33_10"/>
      <w:bookmarkStart w:id="240" w:name="Tc_1prCrMkNb0S4pTe7mBbjlg_33_8"/>
      <w:bookmarkStart w:id="241" w:name="Tc_Joc_RsdaXkeQ5CkAgskj0A_33_6"/>
      <w:bookmarkStart w:id="242" w:name="Tc_bNbIiwUHWUeespXWkEJQNQ_33_5"/>
      <w:bookmarkStart w:id="243" w:name="Tc_qQXsNdickkCRMDQ-RwF-gw_33_3"/>
      <w:bookmarkStart w:id="244" w:name="Tc_xT_JewnJQkW4AF-Mlr19uA_33_2"/>
      <w:bookmarkStart w:id="245" w:name="Tc_MhAgCeTDHEq4W8zf3uQu4g_33_0"/>
      <w:bookmarkStart w:id="246" w:name="Tc_bLtFM9U1KECB05jMBh0kuw_32_10"/>
      <w:bookmarkStart w:id="247" w:name="Tc_JYhPEky4AkOVL5YisQBApA_32_8"/>
      <w:bookmarkStart w:id="248" w:name="Tc_La2L6NS9SEm5up14XFqvwg_32_6"/>
      <w:bookmarkStart w:id="249" w:name="Tc_xjc4K9zqNEupgIrqjh6jHg_32_5"/>
      <w:bookmarkStart w:id="250" w:name="Tc_uFoeaOrPKk68mFVYZrNU9Q_32_3"/>
      <w:bookmarkStart w:id="251" w:name="Tc_i5DzshylUkyGg8B3woEtbg_32_2"/>
      <w:bookmarkStart w:id="252" w:name="Tc_1TqC_BIT9Eq3FFyI51dxlA_32_0"/>
      <w:bookmarkStart w:id="253" w:name="Tc_WyDwU2kmWEyx5MI45BXjog_31_10"/>
      <w:bookmarkStart w:id="254" w:name="Tc_8Ekvbbmt3UuVviM6gcA7Bw_31_8"/>
      <w:bookmarkStart w:id="255" w:name="Tc_8Kdet1epQkq_RsIfuAPFmA_31_6"/>
      <w:bookmarkStart w:id="256" w:name="Tc_-xQKQDom1UG8U3UDfc-9fw_31_5"/>
      <w:bookmarkStart w:id="257" w:name="Tc_1N1ZnNtOakma25d8B0cKug_31_3"/>
      <w:bookmarkStart w:id="258" w:name="Tc_HLebLzZaRUKWgQDk39ZRYA_31_2"/>
      <w:bookmarkStart w:id="259" w:name="Tc_MthINzbo-0644QK07piDyg_31_0"/>
      <w:bookmarkStart w:id="260" w:name="Tc_v0o5FJh6qE2uBTWmwA2a2A_30_10"/>
      <w:bookmarkStart w:id="261" w:name="Tc_Ebus7AqcNUiCdUHTEF45Hg_30_8"/>
      <w:bookmarkStart w:id="262" w:name="Tc_6pEtHedDckqOnbVudORtJw_30_6"/>
      <w:bookmarkStart w:id="263" w:name="Tc_mhXqeaXROkyiffNq-8O-ZA_30_5"/>
      <w:bookmarkStart w:id="264" w:name="Tc_nzYBAczMmk2rMXQV9ZZgdg_30_3"/>
      <w:bookmarkStart w:id="265" w:name="Tc_7hA2aR3ubEe2b1Wo5FnCvg_30_2"/>
      <w:bookmarkStart w:id="266" w:name="Tc_pj_7AXuBYkq4wTyCpQhZOA_30_0"/>
      <w:bookmarkStart w:id="267" w:name="Tc_uuhhAUAOO0C2MlQGENDYsQ_29_0"/>
      <w:bookmarkStart w:id="268" w:name="Tc_y_0-uRnvlE-Oo-xef_VV6w_28_10"/>
      <w:bookmarkStart w:id="269" w:name="Tc_AepdkB-HvUeafKFoIx_rAA_28_8"/>
      <w:bookmarkStart w:id="270" w:name="Tc_DDqG0sbThki85D5jTrnYxA_28_6"/>
      <w:bookmarkStart w:id="271" w:name="Tc_yBfzY_yhekWGfE240fXPRA_28_5"/>
      <w:bookmarkStart w:id="272" w:name="Tc_F5fRftgS_UagktsrBdSKzw_28_3"/>
      <w:bookmarkStart w:id="273" w:name="Tc_jq7Wwy6a_kSUDaq_VG62oA_28_2"/>
      <w:bookmarkStart w:id="274" w:name="Tc_Pswayj3T706_hCjtnEn0Tw_28_0"/>
      <w:bookmarkStart w:id="275" w:name="Tc_3dkiZKhY-kmoUtkrNsbrvQ_27_10"/>
      <w:bookmarkStart w:id="276" w:name="Tc_Jc1geNovC0yU7nFXda9e5Q_27_8"/>
      <w:bookmarkStart w:id="277" w:name="Tc_ulLKAY5vb0q39gJ_LbgAkg_27_5"/>
      <w:bookmarkStart w:id="278" w:name="Tc_Xc0ogdlNl0OhaSLWv_tqZA_27_2"/>
      <w:bookmarkStart w:id="279" w:name="Tc_yqSmuf29aE-dAIVkKzWIhA_27_0"/>
      <w:bookmarkStart w:id="280" w:name="Tc_TtuXLQGS20KCHUhjnC7Vuw_26_10"/>
      <w:bookmarkStart w:id="281" w:name="Tc_7TrIYpB7sUigId2peQK2gA_26_8"/>
      <w:bookmarkStart w:id="282" w:name="Tc_m8io1CL6MUWOPQmALrqxVA_26_5"/>
      <w:bookmarkStart w:id="283" w:name="Tc_m-HsgrWzzU6g4RGvosgiYw_26_2"/>
      <w:bookmarkStart w:id="284" w:name="Tc_CvSEabiqB0mvrHyOvtTWRg_26_0"/>
      <w:bookmarkStart w:id="285" w:name="Tc_vgFtHPmS-0K37jDifn982A_25_10"/>
      <w:bookmarkStart w:id="286" w:name="Tc_GHV6mGHwskG-hiExa_H4dA_25_8"/>
      <w:bookmarkStart w:id="287" w:name="Tc_ptWKxMzBqUm_-_2wA-QrBA_25_5"/>
      <w:bookmarkStart w:id="288" w:name="Tc_FE-QvRUmEk6cOm38uXOj_w_25_2"/>
      <w:bookmarkStart w:id="289" w:name="Tc_m4aqDckMM0KOWrwR5c-4yg_25_0"/>
      <w:bookmarkStart w:id="290" w:name="Tc_OzYiMs6XGkqkTnImmfbN6Q_24_10"/>
      <w:bookmarkStart w:id="291" w:name="Tc_gOXgT8iJ3UWkuqiVd1YVdg_24_8"/>
      <w:bookmarkStart w:id="292" w:name="Tc_eD1lmr4sV0Oni3jZ0OrEMQ_24_5"/>
      <w:bookmarkStart w:id="293" w:name="Tc_Xf6cbcYvwkuaVlC8qesBVA_24_2"/>
      <w:bookmarkStart w:id="294" w:name="Tc_YcINMYJRSkuIz2BlXqVF1A_24_0"/>
      <w:bookmarkStart w:id="295" w:name="Tc_DeBrTbRHM0emKMy8M84ksQ_23_10"/>
      <w:bookmarkStart w:id="296" w:name="Tc_HApXLss_uk2HP4lNEQHHqg_23_8"/>
      <w:bookmarkStart w:id="297" w:name="Tc_tjls6YjM9UiTQdq6CJZXfA_23_5"/>
      <w:bookmarkStart w:id="298" w:name="Tc_uyLmK4AAeUyvHEyiIZ1XAQ_23_2"/>
      <w:bookmarkStart w:id="299" w:name="Tc_HPsG552kQkeRQQvmCjzlXg_23_0"/>
      <w:bookmarkStart w:id="300" w:name="Tc_12kGwDpGj0S5XW_2MDvKDQ_22_10"/>
      <w:bookmarkStart w:id="301" w:name="Tc_9Z8WQohk1kKj4uJYUHqcXQ_22_8"/>
      <w:bookmarkStart w:id="302" w:name="Tc_WQDrPLuFQkK_ak7eDed1ew_22_5"/>
      <w:bookmarkStart w:id="303" w:name="Tc_Lkupbw2250G2g4QDX1RFdw_22_2"/>
      <w:bookmarkStart w:id="304" w:name="Tc_6KWqzwkRBkSvK2G2zXztFA_22_0"/>
      <w:bookmarkStart w:id="305" w:name="Tc_Mf3bEjh-jUWmzUug6mX6mg_21_0"/>
      <w:bookmarkStart w:id="306" w:name="Tc_A_VyT899pUu2lv03y2k1KQ_20_10"/>
      <w:bookmarkStart w:id="307" w:name="Tc_Z1XTHA7AuUqdX5nG_XOFmw_20_8"/>
      <w:bookmarkStart w:id="308" w:name="Tc_m0kd24lDa0SO2zOIqqLgCA_20_6"/>
      <w:bookmarkStart w:id="309" w:name="Tc_dWlcw9esvEmQ6v6nLBb9Mg_20_3"/>
      <w:bookmarkStart w:id="310" w:name="Tc_fqXXFQ19qEqcOV47Vwim8Q_20_2"/>
      <w:bookmarkStart w:id="311" w:name="Tc_yaDRi0-5YUSS2uzQueWfUw_20_0"/>
      <w:bookmarkStart w:id="312" w:name="Tc_GTjO_Z3bKEmDiyIH7kDxAg_19_10"/>
      <w:bookmarkStart w:id="313" w:name="Tc_Ya_hKUXVr02Wq3uJFCNSaw_19_8"/>
      <w:bookmarkStart w:id="314" w:name="Tc_ov0qiYM3cE2PbfiyfCmRsw_19_6"/>
      <w:bookmarkStart w:id="315" w:name="Tc_nivoFrR-z0We_1bPjkTcMw_19_5"/>
      <w:bookmarkStart w:id="316" w:name="Tc_2FwsKKg2VE2xMAQTvoc7sA_19_3"/>
      <w:bookmarkStart w:id="317" w:name="Tc_82r23Y7HkkaIdwE6LpgvIg_19_2"/>
      <w:bookmarkStart w:id="318" w:name="Tc_InRb4RzLRkej0MrQkyjzFQ_19_0"/>
      <w:bookmarkStart w:id="319" w:name="Tc_euwRdHvFQUOF6WR97doOxQ_18_10"/>
      <w:bookmarkStart w:id="320" w:name="Tc_AlMxTTTIdEW6BOHsA_NQiw_18_8"/>
      <w:bookmarkStart w:id="321" w:name="Tc_WcamK8vIYUexZgr-cORZCA_18_6"/>
      <w:bookmarkStart w:id="322" w:name="Tc_SPuXxTQFREm4DXnxrKFB4Q_18_5"/>
      <w:bookmarkStart w:id="323" w:name="Tc_YmuixonPaku97fV3vgNEVg_18_3"/>
      <w:bookmarkStart w:id="324" w:name="Tc_kfbnZRa7SU-ic62PXwwYyw_18_2"/>
      <w:bookmarkStart w:id="325" w:name="Tc_svuHXgK-xE2zIq11Fo-jxQ_18_0"/>
      <w:bookmarkStart w:id="326" w:name="Tc_orsgoXHMI0mKDD-M5F8j7A_17_10"/>
      <w:bookmarkStart w:id="327" w:name="Tc_EAX298yvQkOouH3WaCKr1A_17_8"/>
      <w:bookmarkStart w:id="328" w:name="Tc_qKQGh_8mIE6s9nDm1EWAlA_17_5"/>
      <w:bookmarkStart w:id="329" w:name="Tc_aF5mdJWXJEGsCZ1fVQKLqQ_17_2"/>
      <w:bookmarkStart w:id="330" w:name="Tc_z4Ym1v2FDUm1BFY1qhkvEA_17_0"/>
      <w:bookmarkStart w:id="331" w:name="Tc_L6fNYU8cRUSGiUsTUYVyWA_16_10"/>
      <w:bookmarkStart w:id="332" w:name="Tc_HjlM06VrKEGMfKk6tystRA_16_8"/>
      <w:bookmarkStart w:id="333" w:name="Tc_YyHxPI1B_kCx8lwfO7tkiA_16_5"/>
      <w:bookmarkStart w:id="334" w:name="Tc_2TDkytn-O0yL3p-Tak5LAw_16_2"/>
      <w:bookmarkStart w:id="335" w:name="Tc_xOWlFqAAGESWgWiXom8rZA_16_0"/>
      <w:bookmarkStart w:id="336" w:name="Tc_3tjm8J6aaUeMd9QcCsG6Kg_15_10"/>
      <w:bookmarkStart w:id="337" w:name="Tc_aV6EPruLwk63Gh1q1zSsxg_15_8"/>
      <w:bookmarkStart w:id="338" w:name="Tc_acnWOWhQcEWy-2BnfUR9uw_15_5"/>
      <w:bookmarkStart w:id="339" w:name="Tc_-pAblGeEcE-bwTK2RPEeuw_15_2"/>
      <w:bookmarkStart w:id="340" w:name="Tc_1SXgNeg0C0mOXMXjv0vVow_15_0"/>
      <w:bookmarkStart w:id="341" w:name="Tc_u65hdMzMRUW1U_gMu8Jabw_14_10"/>
      <w:bookmarkStart w:id="342" w:name="Tc_zAGa0m0x-Uu-VO54q8qfbg_14_8"/>
      <w:bookmarkStart w:id="343" w:name="Tc_4RoCfrhx00iRSSPNIb5AkQ_14_5"/>
      <w:bookmarkStart w:id="344" w:name="Tc_34aLOQLtLEmZlyns_OxPFw_14_2"/>
      <w:bookmarkStart w:id="345" w:name="Tc_Q9RS92_BMEeR2S2ZhrLS7A_14_0"/>
      <w:bookmarkStart w:id="346" w:name="Tc_T13N2j02l0-GJqnL6S0K4Q_13_0"/>
      <w:bookmarkStart w:id="347" w:name="Tc_9ENRG502Ck65Vg_JaTIoFQ_12_10"/>
      <w:bookmarkStart w:id="348" w:name="Tc_njqdBsbhvEW_QfXBE1xNCg_12_8"/>
      <w:bookmarkStart w:id="349" w:name="Tc_IIAr42HEa0WsQxttyKMdvw_12_6"/>
      <w:bookmarkStart w:id="350" w:name="Tc_L-BLHCQgmE2X-3YMAtSzpQ_12_3"/>
      <w:bookmarkStart w:id="351" w:name="Tc_l7dEQ0jJ7EuB1VCeKosXXA_12_2"/>
      <w:bookmarkStart w:id="352" w:name="Tc_Q020iqDYj029zZOfQgoxsw_12_0"/>
      <w:bookmarkStart w:id="353" w:name="Tc_833J3aKHHky4uA7kyp5wdA_11_10"/>
      <w:bookmarkStart w:id="354" w:name="Tc_2-ObTtK4-kORT3wnqpLwww_11_8"/>
      <w:bookmarkStart w:id="355" w:name="Tc_Ghn31UUx-0SaL0DijiCuoA_11_6"/>
      <w:bookmarkStart w:id="356" w:name="Tc_RnwKcHzGh0--iujVtvIk3Q_11_5"/>
      <w:bookmarkStart w:id="357" w:name="Tc_kC-LF9juP0aErZ3IxnvQbw_11_3"/>
      <w:bookmarkStart w:id="358" w:name="Tc_e4-DHvg8gEuWwnquvOvxtg_11_2"/>
      <w:bookmarkStart w:id="359" w:name="Tc_T8P3Z3PG60-a0MJ4bV1OXQ_11_0"/>
      <w:bookmarkStart w:id="360" w:name="Tc_f6ctEUIRa0CoY4jooqXlYg_10_10"/>
      <w:bookmarkStart w:id="361" w:name="Tc_yKS56O-3ckC1O8O0erqn7w_10_8"/>
      <w:bookmarkStart w:id="362" w:name="Tc_Wz1ZumTAoEa86dI9rC5xmw_10_6"/>
      <w:bookmarkStart w:id="363" w:name="Tc_-Fk6QJT5l0q0ASf9T_tiTw_10_5"/>
      <w:bookmarkStart w:id="364" w:name="Tc_sXB-YRAljESrldWziVKC5w_10_3"/>
      <w:bookmarkStart w:id="365" w:name="Tc_eZ9bVVD8_EWQAnHaZ5GUIA_10_2"/>
      <w:bookmarkStart w:id="366" w:name="Tc_i92q5EMq4kGcDG7lN11HFw_10_0"/>
      <w:bookmarkStart w:id="367" w:name="Tc_MNisPbdWVE-_c3VU3b-7_Q_9_10"/>
      <w:bookmarkStart w:id="368" w:name="Tc_Cx1cfp3a0EKHfMFqzpCZAw_9_8"/>
      <w:bookmarkStart w:id="369" w:name="Tc_Py3TGKXkvk-xdAhJxqNqQA_9_6"/>
      <w:bookmarkStart w:id="370" w:name="Tc_-FqwIHvoOEiFsRHODZvn_g_9_5"/>
      <w:bookmarkStart w:id="371" w:name="Tc_hMYlroComE6G6QsWGC68nQ_9_3"/>
      <w:bookmarkStart w:id="372" w:name="Tc_YZAiU-QTnky2ctYGrNCueA_9_2"/>
      <w:bookmarkStart w:id="373" w:name="Tc_36vkzyT2H06-uqeQflEr9w_9_0"/>
      <w:bookmarkStart w:id="374" w:name="Tc_e58jkT9adEuO9GtH0csynA_8_10"/>
      <w:bookmarkStart w:id="375" w:name="Tc_ZIcdATbEGUGIhLtMErdmJw_8_8"/>
      <w:bookmarkStart w:id="376" w:name="Tc_e1KBKKLdjUyzjB4Jx7FQrw_8_5"/>
      <w:bookmarkStart w:id="377" w:name="Tc_eV5CDkTWB0ug5kQ0Zbj6wQ_8_2"/>
      <w:bookmarkStart w:id="378" w:name="Tc_-20HanXXpUmf9Lapxp1FyQ_8_0"/>
      <w:bookmarkStart w:id="379" w:name="Tc_bGsKJLtazEWzpZjE-G6mmQ_7_10"/>
      <w:bookmarkStart w:id="380" w:name="Tc_kLXWVBaGOkqt_OYtlgXXAA_7_8"/>
      <w:bookmarkStart w:id="381" w:name="Tc_KP4ZYQ2cDke-8gEoXkr_Xg_7_5"/>
      <w:bookmarkStart w:id="382" w:name="Tc_HLwYYSqOJkq9HUKoXmPfRA_7_2"/>
      <w:bookmarkStart w:id="383" w:name="Tc_UgFYAggw00mV18hDFDMLEw_7_0"/>
      <w:bookmarkStart w:id="384" w:name="Tc_I7PVPJIBZkam3PID6eKq2A_6_10"/>
      <w:bookmarkStart w:id="385" w:name="Tc_ZNx7wgztZ0OpNnmdK_wMGw_6_8"/>
      <w:bookmarkStart w:id="386" w:name="Tc_C74Mg3dPrUOUfaMArwDPmA_6_5"/>
      <w:bookmarkStart w:id="387" w:name="Tc_6DiSBR6HyE2NvnPJKgEAQw_6_2"/>
      <w:bookmarkStart w:id="388" w:name="Tc_1244jbxMTkKKQ5O2VC116w_6_0"/>
      <w:bookmarkStart w:id="389" w:name="Tc_OqNh20pO6kSgA2DH3rvQ0w_5_0"/>
      <w:bookmarkStart w:id="390" w:name="Tc_IShaHJ-uHUSiueDhbYmUjA_4_10"/>
      <w:bookmarkStart w:id="391" w:name="Tc_9jVl-rulik61FQpVFkEhVg_4_8"/>
      <w:bookmarkStart w:id="392" w:name="Tc_2q93bX6qVkSEvUYXtD5KDg_4_5"/>
      <w:bookmarkStart w:id="393" w:name="Tc_1AVae8jCv0ORTfua1YIyQA_4_2"/>
      <w:bookmarkStart w:id="394" w:name="Tc_X6-2PkIC7U2mE5paJwOwPw_4_0"/>
      <w:bookmarkStart w:id="395" w:name="Tc_d4C132HXS0CEjkjVURTQ6A_3_10"/>
      <w:bookmarkStart w:id="396" w:name="Tc_ZrdXFUykjEat09FEn97GXQ_3_8"/>
      <w:bookmarkStart w:id="397" w:name="Tc_tPI8-lFR_UWLOYi11skpCg_3_5"/>
      <w:bookmarkStart w:id="398" w:name="Tc_Z2QqVXxWjEGdz3cW-iht1w_3_2"/>
      <w:bookmarkStart w:id="399" w:name="Tc_yyXbrBalL0WFTX7dRGhO0A_2_10"/>
      <w:bookmarkStart w:id="400" w:name="Tc_LK37nMPEKUaitb8k4_pE1Q_2_8"/>
      <w:bookmarkStart w:id="401" w:name="Tc_u6-zmpA8vEGByvTehamYAQ_2_5"/>
      <w:bookmarkStart w:id="402" w:name="Tc_jGRsb-l5BUSKzZ24VhFQeA_2_2"/>
      <w:bookmarkStart w:id="403" w:name="Tc_N39SHzulhE6u0OiiR4OLMA_1_5"/>
      <w:bookmarkStart w:id="404" w:name="Tc_Rp_s-sRg2kCEiQn_2Vmk1g_1_2"/>
      <w:bookmarkStart w:id="405" w:name="Tc_wDfcm1mJQ02CampIOhpmFQ_0_2"/>
      <w:bookmarkStart w:id="406" w:name="_45791265_cdf6_46ad_a551_7266a01c15d7"/>
      <w:bookmarkStart w:id="407" w:name="SENIORSECURITIES_88403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ascii="Times New Roman;Times;serif" w:hAnsi="Times New Roman;Times;serif"/>
          <w:b/>
          <w:sz w:val="20"/>
        </w:rPr>
        <w:t>SENIOR SECURITIES</w:t>
      </w:r>
    </w:p>
    <w:p>
      <w:pPr>
        <w:pStyle w:val="TextBody"/>
        <w:bidi w:val="0"/>
        <w:spacing w:lineRule="auto" w:line="285" w:before="0" w:after="200"/>
        <w:ind w:left="200" w:right="200" w:firstLine="360"/>
        <w:jc w:val="left"/>
        <w:rPr>
          <w:rFonts w:ascii="Aptos" w:hAnsi="Aptos"/>
          <w:sz w:val="20"/>
        </w:rPr>
      </w:pPr>
      <w:r>
        <w:rPr>
          <w:rFonts w:ascii="Times New Roman;Times;serif" w:hAnsi="Times New Roman;Times;serif"/>
          <w:sz w:val="20"/>
        </w:rPr>
        <w:t xml:space="preserve">Information about our senior securities as of the fiscal years ended December 31, 2023, December 31, 2022, December 31, 2021, December 31, 2020, December 31, 2019, and December 31, 2018 is located in </w:t>
      </w:r>
      <w:r>
        <w:rPr>
          <w:rFonts w:ascii="Times New Roman;Times;serif" w:hAnsi="Times New Roman;Times;serif"/>
          <w:i/>
          <w:sz w:val="20"/>
        </w:rPr>
        <w:t>Part II, Item 8, Note 7</w:t>
      </w:r>
      <w:r>
        <w:rPr>
          <w:rFonts w:ascii="Aptos" w:hAnsi="Aptos"/>
          <w:sz w:val="20"/>
        </w:rPr>
        <w:t xml:space="preserve"> </w:t>
      </w:r>
      <w:r>
        <w:rPr>
          <w:rFonts w:ascii="Times New Roman;Times;serif" w:hAnsi="Times New Roman;Times;serif"/>
          <w:sz w:val="20"/>
        </w:rPr>
        <w:t xml:space="preserve">- </w:t>
      </w:r>
      <w:r>
        <w:rPr>
          <w:rFonts w:ascii="Times New Roman;Times;serif" w:hAnsi="Times New Roman;Times;serif"/>
          <w:i/>
          <w:sz w:val="20"/>
        </w:rPr>
        <w:t>Borrowings</w:t>
      </w:r>
      <w:r>
        <w:rPr>
          <w:rFonts w:ascii="Aptos" w:hAnsi="Aptos"/>
          <w:sz w:val="20"/>
        </w:rPr>
        <w:t xml:space="preserve"> </w:t>
      </w:r>
      <w:r>
        <w:rPr>
          <w:rFonts w:ascii="Times New Roman;Times;serif" w:hAnsi="Times New Roman;Times;serif"/>
          <w:sz w:val="20"/>
        </w:rPr>
        <w:t xml:space="preserve">in our most recent annual report on Form 10-K and is incorporated by reference into the Registration Statement of which this prospectus, any accompanying prospectus supplement and any related free writing prospectus is part. </w:t>
      </w:r>
      <w:r>
        <w:rPr>
          <w:rFonts w:ascii="Times New Roman;Times;serif" w:hAnsi="Times New Roman;Times;serif"/>
          <w:i/>
          <w:sz w:val="20"/>
        </w:rPr>
        <w:t>The report of RSM US, LLP</w:t>
      </w:r>
      <w:r>
        <w:rPr>
          <w:rFonts w:ascii="Times New Roman;Times;serif" w:hAnsi="Times New Roman;Times;serif"/>
          <w:sz w:val="20"/>
        </w:rPr>
        <w:t>, our independent registered public accounting firm, on the audited consolidated financial statements as of December 31, 2023 and December 31, 2022, which include the senior securities table, is included in our most recent annual report on Form 10-K and is incorporated by reference into the Registration Statement of which this prospectus, any accompanying prospectus supplement and any related free writing prospectus is part.</w:t>
      </w:r>
    </w:p>
    <w:p>
      <w:pPr>
        <w:pStyle w:val="TextBody"/>
        <w:bidi w:val="0"/>
        <w:spacing w:lineRule="auto" w:line="285" w:before="0" w:after="200"/>
        <w:ind w:left="200" w:right="200" w:firstLine="360"/>
        <w:jc w:val="left"/>
        <w:rPr>
          <w:rFonts w:ascii="Times New Roman;Times;serif" w:hAnsi="Times New Roman;Times;serif"/>
          <w:sz w:val="20"/>
        </w:rPr>
      </w:pPr>
      <w:r>
        <w:rPr>
          <w:rFonts w:ascii="Times New Roman;Times;serif" w:hAnsi="Times New Roman;Times;serif"/>
          <w:sz w:val="20"/>
        </w:rPr>
        <w:t>Information about our senior securities is shown in the following table as of September 30, 2024 (unaudited) and December 31, 2023 (in thousands).</w:t>
      </w:r>
    </w:p>
    <w:tbl>
      <w:tblPr>
        <w:tblW w:w="7744" w:type="dxa"/>
        <w:jc w:val="left"/>
        <w:tblInd w:w="200" w:type="dxa"/>
        <w:tblLayout w:type="fixed"/>
        <w:tblCellMar>
          <w:top w:w="0" w:type="dxa"/>
          <w:left w:w="0" w:type="dxa"/>
          <w:bottom w:w="0" w:type="dxa"/>
          <w:right w:w="0" w:type="dxa"/>
        </w:tblCellMar>
      </w:tblPr>
      <w:tblGrid>
        <w:gridCol w:w="2401"/>
        <w:gridCol w:w="346"/>
        <w:gridCol w:w="248"/>
        <w:gridCol w:w="878"/>
        <w:gridCol w:w="346"/>
        <w:gridCol w:w="215"/>
        <w:gridCol w:w="661"/>
        <w:gridCol w:w="346"/>
        <w:gridCol w:w="846"/>
        <w:gridCol w:w="346"/>
        <w:gridCol w:w="1111"/>
      </w:tblGrid>
      <w:tr>
        <w:trPr/>
        <w:tc>
          <w:tcPr>
            <w:tcW w:w="24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hanging="0"/>
              <w:jc w:val="left"/>
              <w:rPr>
                <w:sz w:val="4"/>
                <w:szCs w:val="4"/>
              </w:rPr>
            </w:pPr>
            <w:r>
              <w:rPr>
                <w:sz w:val="4"/>
                <w:szCs w:val="4"/>
              </w:rPr>
            </w:r>
          </w:p>
        </w:tc>
      </w:tr>
      <w:tr>
        <w:trPr/>
        <w:tc>
          <w:tcPr>
            <w:tcW w:w="240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 Amount</w:t>
            </w:r>
          </w:p>
        </w:tc>
        <w:tc>
          <w:tcPr>
            <w:tcW w:w="346" w:type="dxa"/>
            <w:tcBorders/>
            <w:vAlign w:val="center"/>
          </w:tcPr>
          <w:p>
            <w:pPr>
              <w:pStyle w:val="TableContents"/>
              <w:bidi w:val="0"/>
              <w:spacing w:lineRule="auto" w:line="285" w:before="0" w:after="0"/>
              <w:ind w:left="0" w:right="0" w:hanging="0"/>
              <w:jc w:val="left"/>
              <w:rPr/>
            </w:pPr>
            <w:r>
              <w:rPr/>
              <w:t>  ​ ​ ​</w:t>
            </w:r>
          </w:p>
        </w:tc>
        <w:tc>
          <w:tcPr>
            <w:tcW w:w="876" w:type="dxa"/>
            <w:gridSpan w:val="2"/>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84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1111" w:type="dxa"/>
            <w:tcBorders/>
            <w:vAlign w:val="center"/>
          </w:tcPr>
          <w:p>
            <w:pPr>
              <w:pStyle w:val="TableContents"/>
              <w:bidi w:val="0"/>
              <w:spacing w:lineRule="auto" w:line="285" w:before="0" w:after="0"/>
              <w:ind w:left="0" w:right="0" w:hanging="0"/>
              <w:jc w:val="left"/>
              <w:rPr/>
            </w:pPr>
            <w:r>
              <w:rPr/>
              <w:t>  ​ ​ ​</w:t>
            </w:r>
          </w:p>
        </w:tc>
      </w:tr>
      <w:tr>
        <w:trPr/>
        <w:tc>
          <w:tcPr>
            <w:tcW w:w="240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7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pacing w:val="-10"/>
                <w:sz w:val="16"/>
              </w:rPr>
            </w:pPr>
            <w:r>
              <w:rPr>
                <w:rFonts w:ascii="Times New Roman;Times;serif" w:hAnsi="Times New Roman;Times;serif"/>
                <w:b/>
                <w:spacing w:val="-10"/>
                <w:sz w:val="16"/>
              </w:rPr>
              <w:t>Involuntary</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1111" w:type="dxa"/>
            <w:tcBorders/>
            <w:vAlign w:val="center"/>
          </w:tcPr>
          <w:p>
            <w:pPr>
              <w:pStyle w:val="TableContents"/>
              <w:bidi w:val="0"/>
              <w:spacing w:lineRule="auto" w:line="328" w:before="0" w:after="160"/>
              <w:ind w:left="0" w:right="0" w:hanging="0"/>
              <w:jc w:val="left"/>
              <w:rPr>
                <w:spacing w:val="-10"/>
              </w:rPr>
            </w:pPr>
            <w:r>
              <w:rPr>
                <w:spacing w:val="-10"/>
              </w:rPr>
              <w:t>​</w:t>
            </w:r>
          </w:p>
        </w:tc>
      </w:tr>
      <w:tr>
        <w:trPr/>
        <w:tc>
          <w:tcPr>
            <w:tcW w:w="240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Exclusive of</w:t>
            </w:r>
          </w:p>
        </w:tc>
        <w:tc>
          <w:tcPr>
            <w:tcW w:w="346" w:type="dxa"/>
            <w:tcBorders/>
            <w:vAlign w:val="center"/>
          </w:tcPr>
          <w:p>
            <w:pPr>
              <w:pStyle w:val="TableContents"/>
              <w:bidi w:val="0"/>
              <w:spacing w:lineRule="auto" w:line="328" w:before="0" w:after="160"/>
              <w:ind w:left="0" w:right="0" w:hanging="0"/>
              <w:jc w:val="left"/>
              <w:rPr/>
            </w:pPr>
            <w:r>
              <w:rPr/>
              <w:t>​</w:t>
            </w:r>
          </w:p>
        </w:tc>
        <w:tc>
          <w:tcPr>
            <w:tcW w:w="87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Asset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center"/>
              <w:rPr>
                <w:rFonts w:ascii="Times New Roman;Times;serif" w:hAnsi="Times New Roman;Times;serif"/>
                <w:b/>
                <w:spacing w:val="-10"/>
                <w:sz w:val="16"/>
              </w:rPr>
            </w:pPr>
            <w:r>
              <w:rPr>
                <w:rFonts w:ascii="Times New Roman;Times;serif" w:hAnsi="Times New Roman;Times;serif"/>
                <w:b/>
                <w:spacing w:val="-10"/>
                <w:sz w:val="16"/>
              </w:rPr>
              <w:t>Liquidating</w:t>
            </w:r>
          </w:p>
        </w:tc>
        <w:tc>
          <w:tcPr>
            <w:tcW w:w="346" w:type="dxa"/>
            <w:tcBorders/>
            <w:vAlign w:val="center"/>
          </w:tcPr>
          <w:p>
            <w:pPr>
              <w:pStyle w:val="TableContents"/>
              <w:bidi w:val="0"/>
              <w:spacing w:lineRule="auto" w:line="328" w:before="0" w:after="160"/>
              <w:ind w:left="0" w:right="0" w:hanging="0"/>
              <w:jc w:val="left"/>
              <w:rPr>
                <w:spacing w:val="-5"/>
              </w:rPr>
            </w:pPr>
            <w:r>
              <w:rPr>
                <w:spacing w:val="-5"/>
              </w:rPr>
              <w:t>​</w:t>
            </w:r>
          </w:p>
        </w:tc>
        <w:tc>
          <w:tcPr>
            <w:tcW w:w="1111" w:type="dxa"/>
            <w:tcBorders/>
            <w:vAlign w:val="center"/>
          </w:tcPr>
          <w:p>
            <w:pPr>
              <w:pStyle w:val="TableContents"/>
              <w:bidi w:val="0"/>
              <w:spacing w:lineRule="auto" w:line="285" w:before="0" w:after="0"/>
              <w:ind w:left="0" w:right="0" w:hanging="0"/>
              <w:jc w:val="center"/>
              <w:rPr>
                <w:rFonts w:ascii="Times New Roman;Times;serif" w:hAnsi="Times New Roman;Times;serif"/>
                <w:b/>
                <w:spacing w:val="-5"/>
                <w:sz w:val="16"/>
              </w:rPr>
            </w:pPr>
            <w:r>
              <w:rPr>
                <w:rFonts w:ascii="Times New Roman;Times;serif" w:hAnsi="Times New Roman;Times;serif"/>
                <w:b/>
                <w:spacing w:val="-5"/>
                <w:sz w:val="16"/>
              </w:rPr>
              <w:t>Average</w:t>
            </w:r>
          </w:p>
        </w:tc>
      </w:tr>
      <w:tr>
        <w:trPr/>
        <w:tc>
          <w:tcPr>
            <w:tcW w:w="240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lineRule="auto" w:line="328" w:before="0" w:after="160"/>
              <w:ind w:left="0" w:right="0" w:hanging="0"/>
              <w:jc w:val="left"/>
              <w:rPr/>
            </w:pPr>
            <w:r>
              <w:rPr/>
              <w:t>​</w:t>
            </w:r>
          </w:p>
        </w:tc>
        <w:tc>
          <w:tcPr>
            <w:tcW w:w="87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Coverage</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center"/>
              <w:rPr>
                <w:rFonts w:ascii="Times New Roman;Times;serif" w:hAnsi="Times New Roman;Times;serif"/>
                <w:b/>
                <w:spacing w:val="-10"/>
                <w:sz w:val="16"/>
              </w:rPr>
            </w:pPr>
            <w:r>
              <w:rPr>
                <w:rFonts w:ascii="Times New Roman;Times;serif" w:hAnsi="Times New Roman;Times;serif"/>
                <w:b/>
                <w:spacing w:val="-10"/>
                <w:sz w:val="16"/>
              </w:rPr>
              <w:t>Preference</w:t>
            </w:r>
          </w:p>
        </w:tc>
        <w:tc>
          <w:tcPr>
            <w:tcW w:w="346" w:type="dxa"/>
            <w:tcBorders/>
            <w:vAlign w:val="center"/>
          </w:tcPr>
          <w:p>
            <w:pPr>
              <w:pStyle w:val="TableContents"/>
              <w:bidi w:val="0"/>
              <w:spacing w:lineRule="auto" w:line="328" w:before="0" w:after="160"/>
              <w:ind w:left="0" w:right="0" w:hanging="0"/>
              <w:jc w:val="left"/>
              <w:rPr>
                <w:spacing w:val="-5"/>
              </w:rPr>
            </w:pPr>
            <w:r>
              <w:rPr>
                <w:spacing w:val="-5"/>
              </w:rPr>
              <w:t>​</w:t>
            </w:r>
          </w:p>
        </w:tc>
        <w:tc>
          <w:tcPr>
            <w:tcW w:w="1111" w:type="dxa"/>
            <w:tcBorders/>
            <w:vAlign w:val="center"/>
          </w:tcPr>
          <w:p>
            <w:pPr>
              <w:pStyle w:val="TableContents"/>
              <w:bidi w:val="0"/>
              <w:spacing w:lineRule="auto" w:line="285" w:before="0" w:after="0"/>
              <w:ind w:left="0" w:right="0" w:hanging="0"/>
              <w:jc w:val="center"/>
              <w:rPr>
                <w:rFonts w:ascii="Times New Roman;Times;serif" w:hAnsi="Times New Roman;Times;serif"/>
                <w:b/>
                <w:spacing w:val="-5"/>
                <w:sz w:val="16"/>
              </w:rPr>
            </w:pPr>
            <w:r>
              <w:rPr>
                <w:rFonts w:ascii="Times New Roman;Times;serif" w:hAnsi="Times New Roman;Times;serif"/>
                <w:b/>
                <w:spacing w:val="-5"/>
                <w:sz w:val="16"/>
              </w:rPr>
              <w:t>Market Value</w:t>
            </w:r>
          </w:p>
        </w:tc>
      </w:tr>
      <w:tr>
        <w:trPr/>
        <w:tc>
          <w:tcPr>
            <w:tcW w:w="24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Class and Period</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Securities</w:t>
            </w:r>
            <w:r>
              <w:rPr>
                <w:rFonts w:ascii="Times New Roman;Times;serif" w:hAnsi="Times New Roman;Times;serif"/>
                <w:b/>
                <w:sz w:val="12"/>
              </w:rPr>
              <w:t>(1)</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87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z w:val="16"/>
              </w:rPr>
              <w:t>per Unit</w:t>
            </w:r>
            <w:r>
              <w:rPr>
                <w:rFonts w:ascii="Times New Roman;Times;serif" w:hAnsi="Times New Roman;Times;serif"/>
                <w:b/>
                <w:sz w:val="12"/>
              </w:rPr>
              <w:t>(2)</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pacing w:val="-10"/>
                <w:sz w:val="16"/>
              </w:rPr>
              <w:t>per Unit</w:t>
            </w:r>
            <w:r>
              <w:rPr>
                <w:rFonts w:ascii="Times New Roman;Times;serif" w:hAnsi="Times New Roman;Times;serif"/>
                <w:b/>
                <w:spacing w:val="-10"/>
                <w:sz w:val="12"/>
              </w:rPr>
              <w:t>(3)</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spacing w:val="-5"/>
              </w:rPr>
            </w:pPr>
            <w:r>
              <w:rPr>
                <w:spacing w:val="-5"/>
              </w:rPr>
              <w:t>​</w:t>
            </w:r>
          </w:p>
        </w:tc>
        <w:tc>
          <w:tcPr>
            <w:tcW w:w="111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ptos" w:hAnsi="Aptos"/>
                <w:sz w:val="16"/>
              </w:rPr>
            </w:pPr>
            <w:r>
              <w:rPr>
                <w:rFonts w:ascii="Times New Roman;Times;serif" w:hAnsi="Times New Roman;Times;serif"/>
                <w:b/>
                <w:spacing w:val="-5"/>
                <w:sz w:val="16"/>
              </w:rPr>
              <w:t>per Unit</w:t>
            </w:r>
            <w:r>
              <w:rPr>
                <w:rFonts w:ascii="Times New Roman;Times;serif" w:hAnsi="Times New Roman;Times;serif"/>
                <w:b/>
                <w:spacing w:val="-5"/>
                <w:sz w:val="12"/>
              </w:rPr>
              <w:t>(4)</w:t>
            </w:r>
          </w:p>
        </w:tc>
      </w:tr>
      <w:tr>
        <w:trPr/>
        <w:tc>
          <w:tcPr>
            <w:tcW w:w="240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2027 Notes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126" w:type="dxa"/>
            <w:gridSpan w:val="2"/>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876" w:type="dxa"/>
            <w:gridSpan w:val="2"/>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84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11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September 30, 2024 (unaudited)</w:t>
            </w:r>
          </w:p>
        </w:tc>
        <w:tc>
          <w:tcPr>
            <w:tcW w:w="346" w:type="dxa"/>
            <w:tcBorders/>
            <w:vAlign w:val="center"/>
          </w:tcPr>
          <w:p>
            <w:pPr>
              <w:pStyle w:val="TableContents"/>
              <w:bidi w:val="0"/>
              <w:spacing w:lineRule="auto" w:line="328" w:before="0" w:after="16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152,250</w:t>
            </w:r>
          </w:p>
        </w:tc>
        <w:tc>
          <w:tcPr>
            <w:tcW w:w="346" w:type="dxa"/>
            <w:tcBorders/>
            <w:vAlign w:val="center"/>
          </w:tcPr>
          <w:p>
            <w:pPr>
              <w:pStyle w:val="TableContents"/>
              <w:bidi w:val="0"/>
              <w:spacing w:lineRule="auto" w:line="328" w:before="0" w:after="16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4,332</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152,250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4,593</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2022</w:t>
            </w:r>
          </w:p>
        </w:tc>
        <w:tc>
          <w:tcPr>
            <w:tcW w:w="346" w:type="dxa"/>
            <w:tcBorders/>
            <w:vAlign w:val="center"/>
          </w:tcPr>
          <w:p>
            <w:pPr>
              <w:pStyle w:val="TableContents"/>
              <w:bidi w:val="0"/>
              <w:spacing w:lineRule="auto" w:line="328" w:before="0" w:after="16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152,250</w:t>
            </w:r>
          </w:p>
        </w:tc>
        <w:tc>
          <w:tcPr>
            <w:tcW w:w="346" w:type="dxa"/>
            <w:tcBorders/>
            <w:vAlign w:val="center"/>
          </w:tcPr>
          <w:p>
            <w:pPr>
              <w:pStyle w:val="TableContents"/>
              <w:bidi w:val="0"/>
              <w:spacing w:lineRule="auto" w:line="328" w:before="0" w:after="16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4,784</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2021</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2019</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2018</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5"/>
              </w:rPr>
            </w:pPr>
            <w:r>
              <w:rPr>
                <w:spacing w:val="-5"/>
              </w:rPr>
              <w:t>​</w:t>
            </w:r>
          </w:p>
        </w:tc>
        <w:tc>
          <w:tcPr>
            <w:tcW w:w="215" w:type="dxa"/>
            <w:tcBorders/>
            <w:vAlign w:val="center"/>
          </w:tcPr>
          <w:p>
            <w:pPr>
              <w:pStyle w:val="TableContents"/>
              <w:bidi w:val="0"/>
              <w:spacing w:lineRule="auto" w:line="328" w:before="0" w:after="160"/>
              <w:ind w:left="0" w:right="0" w:hanging="0"/>
              <w:jc w:val="left"/>
              <w:rPr>
                <w:spacing w:val="-5"/>
              </w:rPr>
            </w:pPr>
            <w:r>
              <w:rPr>
                <w:spacing w:val="-5"/>
              </w:rPr>
              <w:t>​</w:t>
            </w:r>
          </w:p>
        </w:tc>
        <w:tc>
          <w:tcPr>
            <w:tcW w:w="661"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Aptos" w:hAnsi="Aptos"/>
                <w:sz w:val="18"/>
              </w:rPr>
            </w:pPr>
            <w:r>
              <w:rPr>
                <w:rFonts w:ascii="Times New Roman;Times;serif" w:hAnsi="Times New Roman;Times;serif"/>
                <w:b/>
                <w:sz w:val="18"/>
              </w:rPr>
              <w:t>2026</w:t>
            </w:r>
            <w:r>
              <w:rPr>
                <w:rFonts w:ascii="Aptos" w:hAnsi="Aptos"/>
                <w:spacing w:val="-5"/>
                <w:sz w:val="18"/>
              </w:rPr>
              <w:t xml:space="preserve"> </w:t>
            </w:r>
            <w:r>
              <w:rPr>
                <w:rFonts w:ascii="Times New Roman;Times;serif" w:hAnsi="Times New Roman;Times;serif"/>
                <w:b/>
                <w:sz w:val="18"/>
              </w:rPr>
              <w:t>Notes</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78"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661"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c>
          <w:tcPr>
            <w:tcW w:w="1111"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September 30, 2024 (unaudited)</w:t>
            </w:r>
          </w:p>
        </w:tc>
        <w:tc>
          <w:tcPr>
            <w:tcW w:w="346" w:type="dxa"/>
            <w:tcBorders/>
            <w:vAlign w:val="center"/>
          </w:tcPr>
          <w:p>
            <w:pPr>
              <w:pStyle w:val="TableContents"/>
              <w:bidi w:val="0"/>
              <w:spacing w:lineRule="auto" w:line="328" w:before="0" w:after="16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95,000</w:t>
            </w:r>
          </w:p>
        </w:tc>
        <w:tc>
          <w:tcPr>
            <w:tcW w:w="346" w:type="dxa"/>
            <w:tcBorders/>
            <w:vAlign w:val="center"/>
          </w:tcPr>
          <w:p>
            <w:pPr>
              <w:pStyle w:val="TableContents"/>
              <w:bidi w:val="0"/>
              <w:spacing w:lineRule="auto" w:line="328" w:before="0" w:after="16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6,341</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6,759</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2022</w:t>
            </w:r>
          </w:p>
        </w:tc>
        <w:tc>
          <w:tcPr>
            <w:tcW w:w="346" w:type="dxa"/>
            <w:tcBorders/>
            <w:vAlign w:val="center"/>
          </w:tcPr>
          <w:p>
            <w:pPr>
              <w:pStyle w:val="TableContents"/>
              <w:bidi w:val="0"/>
              <w:spacing w:lineRule="auto" w:line="328" w:before="0" w:after="16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70,000</w:t>
            </w:r>
          </w:p>
        </w:tc>
        <w:tc>
          <w:tcPr>
            <w:tcW w:w="346" w:type="dxa"/>
            <w:tcBorders/>
            <w:vAlign w:val="center"/>
          </w:tcPr>
          <w:p>
            <w:pPr>
              <w:pStyle w:val="TableContents"/>
              <w:bidi w:val="0"/>
              <w:spacing w:lineRule="auto" w:line="328" w:before="0" w:after="16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9,229</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31,310</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2019</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2018</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5"/>
              </w:rPr>
            </w:pPr>
            <w:r>
              <w:rPr>
                <w:spacing w:val="-5"/>
              </w:rPr>
              <w:t>​</w:t>
            </w:r>
          </w:p>
        </w:tc>
        <w:tc>
          <w:tcPr>
            <w:tcW w:w="215" w:type="dxa"/>
            <w:tcBorders/>
            <w:vAlign w:val="center"/>
          </w:tcPr>
          <w:p>
            <w:pPr>
              <w:pStyle w:val="TableContents"/>
              <w:bidi w:val="0"/>
              <w:spacing w:lineRule="auto" w:line="328" w:before="0" w:after="160"/>
              <w:ind w:left="0" w:right="0" w:hanging="0"/>
              <w:jc w:val="left"/>
              <w:rPr>
                <w:spacing w:val="-5"/>
              </w:rPr>
            </w:pPr>
            <w:r>
              <w:rPr>
                <w:spacing w:val="-5"/>
              </w:rPr>
              <w:t>​</w:t>
            </w:r>
          </w:p>
        </w:tc>
        <w:tc>
          <w:tcPr>
            <w:tcW w:w="661"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Aptos" w:hAnsi="Aptos"/>
                <w:sz w:val="18"/>
              </w:rPr>
            </w:pPr>
            <w:r>
              <w:rPr>
                <w:rFonts w:ascii="Times New Roman;Times;serif" w:hAnsi="Times New Roman;Times;serif"/>
                <w:b/>
                <w:sz w:val="18"/>
              </w:rPr>
              <w:t>Credit</w:t>
            </w:r>
            <w:r>
              <w:rPr>
                <w:rFonts w:ascii="Aptos" w:hAnsi="Aptos"/>
                <w:spacing w:val="-12"/>
                <w:sz w:val="18"/>
              </w:rPr>
              <w:t xml:space="preserve"> </w:t>
            </w:r>
            <w:r>
              <w:rPr>
                <w:rFonts w:ascii="Times New Roman;Times;serif" w:hAnsi="Times New Roman;Times;serif"/>
                <w:b/>
                <w:sz w:val="18"/>
              </w:rPr>
              <w:t>Facility</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78"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661"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c>
          <w:tcPr>
            <w:tcW w:w="1111"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September 30, 2024 (unaudited)</w:t>
            </w:r>
          </w:p>
        </w:tc>
        <w:tc>
          <w:tcPr>
            <w:tcW w:w="346" w:type="dxa"/>
            <w:tcBorders/>
            <w:vAlign w:val="center"/>
          </w:tcPr>
          <w:p>
            <w:pPr>
              <w:pStyle w:val="TableContents"/>
              <w:bidi w:val="0"/>
              <w:spacing w:lineRule="auto" w:line="328" w:before="0" w:after="16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302,000</w:t>
            </w:r>
          </w:p>
        </w:tc>
        <w:tc>
          <w:tcPr>
            <w:tcW w:w="346" w:type="dxa"/>
            <w:tcBorders/>
            <w:vAlign w:val="center"/>
          </w:tcPr>
          <w:p>
            <w:pPr>
              <w:pStyle w:val="TableContents"/>
              <w:bidi w:val="0"/>
              <w:spacing w:lineRule="auto" w:line="328" w:before="0" w:after="16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2,680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272,000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3,011</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2022</w:t>
            </w:r>
          </w:p>
        </w:tc>
        <w:tc>
          <w:tcPr>
            <w:tcW w:w="346" w:type="dxa"/>
            <w:tcBorders/>
            <w:vAlign w:val="center"/>
          </w:tcPr>
          <w:p>
            <w:pPr>
              <w:pStyle w:val="TableContents"/>
              <w:bidi w:val="0"/>
              <w:spacing w:lineRule="auto" w:line="328" w:before="0" w:after="16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337,000</w:t>
            </w:r>
          </w:p>
        </w:tc>
        <w:tc>
          <w:tcPr>
            <w:tcW w:w="346" w:type="dxa"/>
            <w:tcBorders/>
            <w:vAlign w:val="center"/>
          </w:tcPr>
          <w:p>
            <w:pPr>
              <w:pStyle w:val="TableContents"/>
              <w:bidi w:val="0"/>
              <w:spacing w:lineRule="auto" w:line="328" w:before="0" w:after="16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2,709</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10,938</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2020</w:t>
            </w:r>
          </w:p>
        </w:tc>
        <w:tc>
          <w:tcPr>
            <w:tcW w:w="346" w:type="dxa"/>
            <w:tcBorders/>
            <w:vAlign w:val="center"/>
          </w:tcPr>
          <w:p>
            <w:pPr>
              <w:pStyle w:val="TableContents"/>
              <w:bidi w:val="0"/>
              <w:spacing w:lineRule="auto" w:line="328" w:before="0" w:after="16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99,000</w:t>
            </w:r>
          </w:p>
        </w:tc>
        <w:tc>
          <w:tcPr>
            <w:tcW w:w="346" w:type="dxa"/>
            <w:tcBorders/>
            <w:vAlign w:val="center"/>
          </w:tcPr>
          <w:p>
            <w:pPr>
              <w:pStyle w:val="TableContents"/>
              <w:bidi w:val="0"/>
              <w:spacing w:lineRule="auto" w:line="328" w:before="0" w:after="16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5,710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2019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7,169</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2018</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40" w:before="0" w:after="0"/>
              <w:ind w:left="0" w:right="0" w:hanging="0"/>
              <w:jc w:val="left"/>
              <w:rPr>
                <w:rFonts w:ascii="Aptos" w:hAnsi="Aptos"/>
                <w:sz w:val="18"/>
              </w:rPr>
            </w:pPr>
            <w:r>
              <w:rPr>
                <w:rFonts w:ascii="Times New Roman;Times;serif" w:hAnsi="Times New Roman;Times;serif"/>
                <w:b/>
                <w:sz w:val="18"/>
              </w:rPr>
              <w:t>Credit Facility– CIBC</w:t>
            </w:r>
            <w:r>
              <w:rPr>
                <w:rFonts w:ascii="Times New Roman;Times;serif" w:hAnsi="Times New Roman;Times;serif"/>
                <w:b/>
                <w:sz w:val="14"/>
              </w:rPr>
              <w:t>(5)</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78"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661"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September 30, 2024 (unaudited)</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2023</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2022</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2021</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2019</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2018</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pacing w:val="-10"/>
                <w:sz w:val="18"/>
              </w:rPr>
            </w:pPr>
            <w:r>
              <w:rPr>
                <w:rFonts w:ascii="Times New Roman;Times;serif" w:hAnsi="Times New Roman;Times;serif"/>
                <w:spacing w:val="-10"/>
                <w:sz w:val="18"/>
              </w:rPr>
              <w:t>59,500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pacing w:val="-10"/>
                <w:sz w:val="18"/>
              </w:rPr>
            </w:pPr>
            <w:r>
              <w:rPr>
                <w:rFonts w:ascii="Times New Roman;Times;serif" w:hAnsi="Times New Roman;Times;serif"/>
                <w:spacing w:val="-10"/>
                <w:sz w:val="18"/>
              </w:rPr>
              <w:t>3,813</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78"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661"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328" w:before="0" w:after="16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September 30, 2024 (unaudited)</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549,250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1,924</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2023</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519,250</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2,054</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2022</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559,250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2,030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2021</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81,000</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8,484</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2020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99,000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5,710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2019</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61,000</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7,169</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shd w:fill="CCEEFF" w:val="clear"/>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r>
        <w:trPr/>
        <w:tc>
          <w:tcPr>
            <w:tcW w:w="2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December 31, 2018</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48"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878"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59,500</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215" w:type="dxa"/>
            <w:tcBorders/>
            <w:vAlign w:val="center"/>
          </w:tcPr>
          <w:p>
            <w:pPr>
              <w:pStyle w:val="TableContents"/>
              <w:bidi w:val="0"/>
              <w:spacing w:lineRule="auto" w:line="285" w:before="0" w:after="0"/>
              <w:ind w:left="0" w:right="0" w:hanging="0"/>
              <w:jc w:val="left"/>
              <w:rPr>
                <w:rFonts w:ascii="Times New Roman;Times;serif" w:hAnsi="Times New Roman;Times;serif"/>
                <w:spacing w:val="-10"/>
                <w:sz w:val="18"/>
              </w:rPr>
            </w:pPr>
            <w:r>
              <w:rPr>
                <w:rFonts w:ascii="Times New Roman;Times;serif" w:hAnsi="Times New Roman;Times;serif"/>
                <w:spacing w:val="-10"/>
                <w:sz w:val="18"/>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3,813</w:t>
            </w:r>
          </w:p>
        </w:tc>
        <w:tc>
          <w:tcPr>
            <w:tcW w:w="346" w:type="dxa"/>
            <w:tcBorders/>
            <w:vAlign w:val="center"/>
          </w:tcPr>
          <w:p>
            <w:pPr>
              <w:pStyle w:val="TableContents"/>
              <w:bidi w:val="0"/>
              <w:spacing w:lineRule="auto" w:line="328" w:before="0" w:after="160"/>
              <w:ind w:left="0" w:right="0" w:hanging="0"/>
              <w:jc w:val="left"/>
              <w:rPr>
                <w:spacing w:val="-10"/>
              </w:rPr>
            </w:pPr>
            <w:r>
              <w:rPr>
                <w:spacing w:val="-10"/>
              </w:rPr>
              <w:t>​</w:t>
            </w:r>
          </w:p>
        </w:tc>
        <w:tc>
          <w:tcPr>
            <w:tcW w:w="846" w:type="dxa"/>
            <w:tcBorders/>
            <w:vAlign w:val="center"/>
          </w:tcPr>
          <w:p>
            <w:pPr>
              <w:pStyle w:val="TableContents"/>
              <w:bidi w:val="0"/>
              <w:spacing w:lineRule="auto" w:line="285" w:before="0" w:after="0"/>
              <w:ind w:left="0" w:right="0" w:hanging="0"/>
              <w:jc w:val="right"/>
              <w:rPr>
                <w:spacing w:val="-10"/>
              </w:rPr>
            </w:pPr>
            <w:r>
              <w:rPr>
                <w:spacing w:val="-10"/>
              </w:rPr>
              <w:t>—</w:t>
            </w:r>
          </w:p>
        </w:tc>
        <w:tc>
          <w:tcPr>
            <w:tcW w:w="346" w:type="dxa"/>
            <w:tcBorders/>
            <w:vAlign w:val="center"/>
          </w:tcPr>
          <w:p>
            <w:pPr>
              <w:pStyle w:val="TableContents"/>
              <w:bidi w:val="0"/>
              <w:spacing w:lineRule="auto" w:line="328" w:before="0" w:after="160"/>
              <w:ind w:left="0" w:right="0" w:hanging="0"/>
              <w:jc w:val="right"/>
              <w:rPr>
                <w:spacing w:val="-5"/>
              </w:rPr>
            </w:pPr>
            <w:r>
              <w:rPr>
                <w:spacing w:val="-5"/>
              </w:rPr>
              <w:t>​</w:t>
            </w:r>
          </w:p>
        </w:tc>
        <w:tc>
          <w:tcPr>
            <w:tcW w:w="1111" w:type="dxa"/>
            <w:tcBorders/>
            <w:vAlign w:val="center"/>
          </w:tcPr>
          <w:p>
            <w:pPr>
              <w:pStyle w:val="TableContents"/>
              <w:bidi w:val="0"/>
              <w:spacing w:lineRule="auto" w:line="285" w:before="0" w:after="0"/>
              <w:ind w:left="0" w:right="0" w:hanging="0"/>
              <w:jc w:val="right"/>
              <w:rPr>
                <w:rFonts w:ascii="Times New Roman;Times;serif" w:hAnsi="Times New Roman;Times;serif"/>
                <w:spacing w:val="-5"/>
                <w:sz w:val="18"/>
              </w:rPr>
            </w:pPr>
            <w:r>
              <w:rPr>
                <w:rFonts w:ascii="Times New Roman;Times;serif" w:hAnsi="Times New Roman;Times;serif"/>
                <w:spacing w:val="-5"/>
                <w:sz w:val="18"/>
              </w:rPr>
              <w:t>N/A</w:t>
            </w:r>
          </w:p>
        </w:tc>
      </w:tr>
    </w:tbl>
    <w:p>
      <w:pPr>
        <w:pStyle w:val="TextBody"/>
        <w:bidi w:val="0"/>
        <w:spacing w:lineRule="auto" w:line="328" w:before="0" w:after="160"/>
        <w:ind w:left="200" w:right="200" w:hanging="0"/>
        <w:jc w:val="both"/>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282" w:type="dxa"/>
        <w:jc w:val="left"/>
        <w:tblInd w:w="200" w:type="dxa"/>
        <w:tblLayout w:type="fixed"/>
        <w:tblCellMar>
          <w:top w:w="0" w:type="dxa"/>
          <w:left w:w="0" w:type="dxa"/>
          <w:bottom w:w="0" w:type="dxa"/>
          <w:right w:w="0" w:type="dxa"/>
        </w:tblCellMar>
      </w:tblPr>
      <w:tblGrid>
        <w:gridCol w:w="346"/>
        <w:gridCol w:w="49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amount of each class of senior securities outstanding.</w:t>
            </w:r>
          </w:p>
        </w:tc>
      </w:tr>
    </w:tbl>
    <w:tbl>
      <w:tblPr>
        <w:tblW w:w="9805" w:type="dxa"/>
        <w:jc w:val="left"/>
        <w:tblInd w:w="200" w:type="dxa"/>
        <w:tblLayout w:type="fixed"/>
        <w:tblCellMar>
          <w:top w:w="0" w:type="dxa"/>
          <w:left w:w="0" w:type="dxa"/>
          <w:bottom w:w="0" w:type="dxa"/>
          <w:right w:w="0" w:type="dxa"/>
        </w:tblCellMar>
      </w:tblPr>
      <w:tblGrid>
        <w:gridCol w:w="303"/>
        <w:gridCol w:w="95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coverage per unit is the ratio of the carrying value of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tc>
      </w:tr>
    </w:tbl>
    <w:tbl>
      <w:tblPr>
        <w:tblW w:w="9805" w:type="dxa"/>
        <w:jc w:val="left"/>
        <w:tblInd w:w="200" w:type="dxa"/>
        <w:tblLayout w:type="fixed"/>
        <w:tblCellMar>
          <w:top w:w="0" w:type="dxa"/>
          <w:left w:w="0" w:type="dxa"/>
          <w:bottom w:w="0" w:type="dxa"/>
          <w:right w:w="0" w:type="dxa"/>
        </w:tblCellMar>
      </w:tblPr>
      <w:tblGrid>
        <w:gridCol w:w="308"/>
        <w:gridCol w:w="94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to which such class of senior security would be entitled upon the Company’s involuntary liquidation in preference to any security junior to it. The “—” in this column indicates information that the SEC expressly does not require to be disclosed for certain types of senior securities.</w:t>
            </w:r>
          </w:p>
        </w:tc>
      </w:tr>
    </w:tbl>
    <w:tbl>
      <w:tblPr>
        <w:tblW w:w="6992" w:type="dxa"/>
        <w:jc w:val="left"/>
        <w:tblInd w:w="200" w:type="dxa"/>
        <w:tblLayout w:type="fixed"/>
        <w:tblCellMar>
          <w:top w:w="0" w:type="dxa"/>
          <w:left w:w="0" w:type="dxa"/>
          <w:bottom w:w="0" w:type="dxa"/>
          <w:right w:w="0" w:type="dxa"/>
        </w:tblCellMar>
      </w:tblPr>
      <w:tblGrid>
        <w:gridCol w:w="346"/>
        <w:gridCol w:w="664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6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because the senior securities are not registered for public trading.</w:t>
            </w:r>
          </w:p>
        </w:tc>
      </w:tr>
    </w:tbl>
    <w:tbl>
      <w:tblPr>
        <w:tblW w:w="9805" w:type="dxa"/>
        <w:jc w:val="left"/>
        <w:tblInd w:w="200" w:type="dxa"/>
        <w:tblLayout w:type="fixed"/>
        <w:tblCellMar>
          <w:top w:w="0" w:type="dxa"/>
          <w:left w:w="0" w:type="dxa"/>
          <w:bottom w:w="0" w:type="dxa"/>
          <w:right w:w="0" w:type="dxa"/>
        </w:tblCellMar>
      </w:tblPr>
      <w:tblGrid>
        <w:gridCol w:w="315"/>
        <w:gridCol w:w="9490"/>
      </w:tblGrid>
      <w:tr>
        <w:trPr/>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2018, the Company entered into the credit facility with CIBC. On May 31, 2019, in conjunction with securing and entering into the new Credit Facility, the Company terminated the credit facility with CIBC.</w:t>
            </w:r>
          </w:p>
        </w:tc>
      </w:tr>
    </w:tbl>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08" w:name="PORTFOLIOCOMPANIES_318382"/>
      <w:bookmarkStart w:id="409" w:name="_07f7b1e7_9b14_41d8_8a47_fc4070a8b45d"/>
      <w:bookmarkEnd w:id="408"/>
      <w:bookmarkEnd w:id="409"/>
      <w:r>
        <w:rPr>
          <w:rFonts w:ascii="Times New Roman;Times;serif" w:hAnsi="Times New Roman;Times;serif"/>
          <w:b/>
          <w:sz w:val="20"/>
        </w:rPr>
        <w:t>PORTFOLIO COMPANIES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The following table sets forth certain information regarding each of the portfolio companies in which we had a debt or equity investment as of September 30, 2024. We may receive rights to observe the meetings of our portfolio companies’ </w:t>
      </w:r>
      <w:r>
        <w:rPr>
          <w:rFonts w:ascii="Times New Roman;Times;serif" w:hAnsi="Times New Roman;Times;serif"/>
          <w:color w:val="231F20"/>
          <w:sz w:val="20"/>
        </w:rPr>
        <w:t>board</w:t>
      </w:r>
      <w:r>
        <w:rPr>
          <w:rFonts w:ascii="Aptos" w:hAnsi="Aptos"/>
          <w:sz w:val="20"/>
        </w:rPr>
        <w:t xml:space="preserve"> </w:t>
      </w:r>
      <w:r>
        <w:rPr>
          <w:rFonts w:ascii="Times New Roman;Times;serif" w:hAnsi="Times New Roman;Times;serif"/>
          <w:sz w:val="20"/>
        </w:rPr>
        <w:t>of directors. Other than these investments, our only relationship with our portfolio companies are the managerial assistance we may separately provide to our portfolio companies, which services would be ancillary to our investments. As of September 30, 2024, one representative of the Adviser held positions on the board of directors of Snagajob.com, Inc., Coginiti Corp, and Gynesonics, Inc. As of September 30, 2024, the Adviser held responsibility for all managerial responsibilities of Pivot 3, Inc. As of September 30, 2024, with the exception of Pivot3, Inc., we did not “control” any of our portfolio companies as defined in the 1940 Act. As of September 30, 2024, with the exception of Coginiti Corp, and Gynesonics, Inc., we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10" w:name="_1bd249bf_b345_40e5_b24a_d90076d9a1b0"/>
      <w:bookmarkEnd w:id="410"/>
      <w:r>
        <w:rPr>
          <w:rFonts w:ascii="Times New Roman;Times;serif" w:hAnsi="Times New Roman;Times;serif"/>
          <w:b/>
          <w:sz w:val="20"/>
        </w:rPr>
        <w:t>Runway Growth Finance Corp.</w:t>
      </w:r>
    </w:p>
    <w:p>
      <w:pPr>
        <w:pStyle w:val="TextBody"/>
        <w:bidi w:val="0"/>
        <w:spacing w:lineRule="auto" w:line="285" w:before="0" w:after="0"/>
        <w:ind w:left="200" w:right="200" w:hanging="0"/>
        <w:jc w:val="center"/>
        <w:rPr>
          <w:rFonts w:ascii="Times New Roman;Times;serif" w:hAnsi="Times New Roman;Times;serif"/>
          <w:b/>
          <w:sz w:val="20"/>
        </w:rPr>
      </w:pPr>
      <w:r>
        <w:rPr>
          <w:rFonts w:ascii="Times New Roman;Times;serif" w:hAnsi="Times New Roman;Times;serif"/>
          <w:b/>
          <w:sz w:val="20"/>
        </w:rPr>
        <w:t>Schedule of Investments</w:t>
      </w:r>
    </w:p>
    <w:p>
      <w:pPr>
        <w:pStyle w:val="TextBody"/>
        <w:bidi w:val="0"/>
        <w:spacing w:lineRule="auto" w:line="285" w:before="0" w:after="0"/>
        <w:ind w:left="200" w:right="200" w:hanging="0"/>
        <w:jc w:val="center"/>
        <w:rPr>
          <w:rFonts w:ascii="Times New Roman;Times;serif" w:hAnsi="Times New Roman;Times;serif"/>
          <w:b/>
          <w:sz w:val="20"/>
        </w:rPr>
      </w:pPr>
      <w:r>
        <w:rPr>
          <w:rFonts w:ascii="Times New Roman;Times;serif" w:hAnsi="Times New Roman;Times;serif"/>
          <w:b/>
          <w:sz w:val="20"/>
        </w:rPr>
        <w:t>September 30, 2024</w:t>
      </w:r>
    </w:p>
    <w:p>
      <w:pPr>
        <w:pStyle w:val="TextBody"/>
        <w:bidi w:val="0"/>
        <w:spacing w:lineRule="auto" w:line="285" w:before="0" w:after="240"/>
        <w:ind w:left="200" w:right="200" w:hanging="0"/>
        <w:jc w:val="center"/>
        <w:rPr>
          <w:rFonts w:ascii="Times New Roman;Times;serif" w:hAnsi="Times New Roman;Times;serif"/>
          <w:b/>
          <w:sz w:val="20"/>
        </w:rPr>
      </w:pPr>
      <w:r>
        <w:rPr>
          <w:rFonts w:ascii="Times New Roman;Times;serif" w:hAnsi="Times New Roman;Times;serif"/>
          <w:b/>
          <w:sz w:val="20"/>
        </w:rPr>
        <w:t>(In thousands, except per share data)</w:t>
      </w:r>
    </w:p>
    <w:tbl>
      <w:tblPr>
        <w:tblW w:w="9805" w:type="dxa"/>
        <w:jc w:val="left"/>
        <w:tblInd w:w="200" w:type="dxa"/>
        <w:tblLayout w:type="fixed"/>
        <w:tblCellMar>
          <w:top w:w="0" w:type="dxa"/>
          <w:left w:w="0" w:type="dxa"/>
          <w:bottom w:w="0" w:type="dxa"/>
          <w:right w:w="0" w:type="dxa"/>
        </w:tblCellMar>
      </w:tblPr>
      <w:tblGrid>
        <w:gridCol w:w="1054"/>
        <w:gridCol w:w="346"/>
        <w:gridCol w:w="786"/>
        <w:gridCol w:w="346"/>
        <w:gridCol w:w="691"/>
        <w:gridCol w:w="346"/>
        <w:gridCol w:w="776"/>
        <w:gridCol w:w="346"/>
        <w:gridCol w:w="589"/>
        <w:gridCol w:w="346"/>
        <w:gridCol w:w="584"/>
        <w:gridCol w:w="346"/>
        <w:gridCol w:w="451"/>
        <w:gridCol w:w="346"/>
        <w:gridCol w:w="719"/>
        <w:gridCol w:w="346"/>
        <w:gridCol w:w="496"/>
        <w:gridCol w:w="346"/>
        <w:gridCol w:w="545"/>
      </w:tblGrid>
      <w:tr>
        <w:trPr/>
        <w:tc>
          <w:tcPr>
            <w:tcW w:w="10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ind w:left="0" w:right="0" w:hanging="0"/>
              <w:jc w:val="left"/>
              <w:rPr>
                <w:sz w:val="4"/>
                <w:szCs w:val="4"/>
              </w:rPr>
            </w:pPr>
            <w:r>
              <w:rPr>
                <w:sz w:val="4"/>
                <w:szCs w:val="4"/>
              </w:rPr>
            </w:r>
          </w:p>
        </w:tc>
      </w:tr>
      <w:tr>
        <w:trPr/>
        <w:tc>
          <w:tcPr>
            <w:tcW w:w="105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1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45" w:type="dxa"/>
            <w:tcBorders/>
            <w:vAlign w:val="center"/>
          </w:tcPr>
          <w:p>
            <w:pPr>
              <w:pStyle w:val="TableContents"/>
              <w:bidi w:val="0"/>
              <w:spacing w:before="0" w:after="283"/>
              <w:ind w:left="0" w:right="0" w:hanging="0"/>
              <w:jc w:val="left"/>
              <w:rPr>
                <w:sz w:val="4"/>
                <w:szCs w:val="4"/>
              </w:rPr>
            </w:pPr>
            <w:r>
              <w:rPr>
                <w:sz w:val="4"/>
                <w:szCs w:val="4"/>
              </w:rPr>
            </w:r>
          </w:p>
        </w:tc>
      </w:tr>
      <w:tr>
        <w:trPr/>
        <w:tc>
          <w:tcPr>
            <w:tcW w:w="105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19"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Percentage of</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45" w:type="dxa"/>
            <w:tcBorders/>
            <w:vAlign w:val="center"/>
          </w:tcPr>
          <w:p>
            <w:pPr>
              <w:pStyle w:val="TableContents"/>
              <w:bidi w:val="0"/>
              <w:spacing w:before="0" w:after="283"/>
              <w:ind w:left="0" w:right="0" w:hanging="0"/>
              <w:jc w:val="left"/>
              <w:rPr>
                <w:sz w:val="4"/>
                <w:szCs w:val="4"/>
              </w:rPr>
            </w:pPr>
            <w:r>
              <w:rPr>
                <w:sz w:val="4"/>
                <w:szCs w:val="4"/>
              </w:rPr>
            </w:r>
          </w:p>
        </w:tc>
      </w:tr>
      <w:tr>
        <w:trPr/>
        <w:tc>
          <w:tcPr>
            <w:tcW w:w="1054"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7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4"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19"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Class Held on a</w:t>
            </w:r>
          </w:p>
        </w:tc>
        <w:tc>
          <w:tcPr>
            <w:tcW w:w="346" w:type="dxa"/>
            <w:tcBorders/>
            <w:vAlign w:val="center"/>
          </w:tcPr>
          <w:p>
            <w:pPr>
              <w:pStyle w:val="TableContents"/>
              <w:bidi w:val="0"/>
              <w:spacing w:lineRule="auto" w:line="328" w:before="0" w:after="160"/>
              <w:ind w:left="0" w:right="0" w:hanging="0"/>
              <w:jc w:val="center"/>
              <w:rPr/>
            </w:pPr>
            <w:r>
              <w:rPr/>
              <w:t>​</w:t>
            </w:r>
          </w:p>
        </w:tc>
        <w:tc>
          <w:tcPr>
            <w:tcW w:w="49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45"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Fair</w:t>
            </w:r>
          </w:p>
        </w:tc>
      </w:tr>
      <w:tr>
        <w:trPr/>
        <w:tc>
          <w:tcPr>
            <w:tcW w:w="1054"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46" w:type="dxa"/>
            <w:tcBorders/>
            <w:vAlign w:val="center"/>
          </w:tcPr>
          <w:p>
            <w:pPr>
              <w:pStyle w:val="TableContents"/>
              <w:bidi w:val="0"/>
              <w:spacing w:lineRule="auto" w:line="328" w:before="0" w:after="160"/>
              <w:ind w:left="0" w:right="0" w:hanging="0"/>
              <w:jc w:val="center"/>
              <w:rPr/>
            </w:pPr>
            <w:r>
              <w:rPr/>
              <w:t>​</w:t>
            </w:r>
          </w:p>
        </w:tc>
        <w:tc>
          <w:tcPr>
            <w:tcW w:w="77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Maturity</w:t>
            </w:r>
          </w:p>
        </w:tc>
        <w:tc>
          <w:tcPr>
            <w:tcW w:w="346" w:type="dxa"/>
            <w:tcBorders/>
            <w:vAlign w:val="center"/>
          </w:tcPr>
          <w:p>
            <w:pPr>
              <w:pStyle w:val="TableContents"/>
              <w:bidi w:val="0"/>
              <w:spacing w:lineRule="auto" w:line="328" w:before="0" w:after="160"/>
              <w:ind w:left="0" w:right="0" w:hanging="0"/>
              <w:jc w:val="center"/>
              <w:rPr/>
            </w:pPr>
            <w:r>
              <w:rPr/>
              <w:t>​</w:t>
            </w:r>
          </w:p>
        </w:tc>
        <w:tc>
          <w:tcPr>
            <w:tcW w:w="584"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19"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Fully Diluted</w:t>
            </w:r>
          </w:p>
        </w:tc>
        <w:tc>
          <w:tcPr>
            <w:tcW w:w="346" w:type="dxa"/>
            <w:tcBorders/>
            <w:vAlign w:val="center"/>
          </w:tcPr>
          <w:p>
            <w:pPr>
              <w:pStyle w:val="TableContents"/>
              <w:bidi w:val="0"/>
              <w:spacing w:lineRule="auto" w:line="328" w:before="0" w:after="160"/>
              <w:ind w:left="0" w:right="0" w:hanging="0"/>
              <w:jc w:val="center"/>
              <w:rPr/>
            </w:pPr>
            <w:r>
              <w:rPr/>
              <w:t>​</w:t>
            </w:r>
          </w:p>
        </w:tc>
        <w:tc>
          <w:tcPr>
            <w:tcW w:w="49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Cost</w:t>
            </w:r>
          </w:p>
        </w:tc>
        <w:tc>
          <w:tcPr>
            <w:tcW w:w="346" w:type="dxa"/>
            <w:tcBorders/>
            <w:vAlign w:val="center"/>
          </w:tcPr>
          <w:p>
            <w:pPr>
              <w:pStyle w:val="TableContents"/>
              <w:bidi w:val="0"/>
              <w:spacing w:lineRule="auto" w:line="328" w:before="0" w:after="160"/>
              <w:ind w:left="0" w:right="0" w:hanging="0"/>
              <w:jc w:val="center"/>
              <w:rPr/>
            </w:pPr>
            <w:r>
              <w:rPr/>
              <w:t>​</w:t>
            </w:r>
          </w:p>
        </w:tc>
        <w:tc>
          <w:tcPr>
            <w:tcW w:w="545"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Value</w:t>
            </w:r>
          </w:p>
        </w:tc>
      </w:tr>
      <w:tr>
        <w:trPr/>
        <w:tc>
          <w:tcPr>
            <w:tcW w:w="10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Portfolio Company</w:t>
            </w:r>
          </w:p>
        </w:tc>
        <w:tc>
          <w:tcPr>
            <w:tcW w:w="346" w:type="dxa"/>
            <w:tcBorders/>
            <w:vAlign w:val="center"/>
          </w:tcPr>
          <w:p>
            <w:pPr>
              <w:pStyle w:val="TableContents"/>
              <w:bidi w:val="0"/>
              <w:spacing w:lineRule="auto" w:line="285" w:before="0" w:after="0"/>
              <w:ind w:left="0" w:right="0" w:hanging="0"/>
              <w:jc w:val="center"/>
              <w:rPr/>
            </w:pPr>
            <w:r>
              <w:rPr/>
              <w:t>  ​ ​ ​</w:t>
            </w:r>
          </w:p>
        </w:tc>
        <w:tc>
          <w:tcPr>
            <w:tcW w:w="7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w:t>
            </w:r>
          </w:p>
        </w:tc>
        <w:tc>
          <w:tcPr>
            <w:tcW w:w="346" w:type="dxa"/>
            <w:tcBorders/>
            <w:vAlign w:val="center"/>
          </w:tcPr>
          <w:p>
            <w:pPr>
              <w:pStyle w:val="TableContents"/>
              <w:bidi w:val="0"/>
              <w:spacing w:lineRule="auto" w:line="285"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Type</w:t>
            </w:r>
          </w:p>
        </w:tc>
        <w:tc>
          <w:tcPr>
            <w:tcW w:w="346" w:type="dxa"/>
            <w:tcBorders/>
            <w:vAlign w:val="center"/>
          </w:tcPr>
          <w:p>
            <w:pPr>
              <w:pStyle w:val="TableContents"/>
              <w:bidi w:val="0"/>
              <w:spacing w:lineRule="auto" w:line="285" w:before="0" w:after="0"/>
              <w:ind w:left="0" w:right="0" w:hanging="0"/>
              <w:jc w:val="center"/>
              <w:rPr/>
            </w:pPr>
            <w:r>
              <w:rPr/>
              <w:t>  ​ ​ ​</w:t>
            </w:r>
          </w:p>
        </w:tc>
        <w:tc>
          <w:tcPr>
            <w:tcW w:w="7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 Description</w:t>
            </w:r>
          </w:p>
        </w:tc>
        <w:tc>
          <w:tcPr>
            <w:tcW w:w="346" w:type="dxa"/>
            <w:tcBorders/>
            <w:vAlign w:val="center"/>
          </w:tcPr>
          <w:p>
            <w:pPr>
              <w:pStyle w:val="TableContents"/>
              <w:bidi w:val="0"/>
              <w:spacing w:lineRule="auto" w:line="285" w:before="0" w:after="0"/>
              <w:ind w:left="0" w:right="0" w:hanging="0"/>
              <w:jc w:val="center"/>
              <w:rPr/>
            </w:pPr>
            <w:r>
              <w:rPr/>
              <w:t>  ​ ​ ​</w:t>
            </w:r>
          </w:p>
        </w:tc>
        <w:tc>
          <w:tcPr>
            <w:tcW w:w="58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Date</w:t>
            </w:r>
          </w:p>
        </w:tc>
        <w:tc>
          <w:tcPr>
            <w:tcW w:w="346" w:type="dxa"/>
            <w:tcBorders/>
            <w:vAlign w:val="center"/>
          </w:tcPr>
          <w:p>
            <w:pPr>
              <w:pStyle w:val="TableContents"/>
              <w:bidi w:val="0"/>
              <w:spacing w:lineRule="auto" w:line="285" w:before="0" w:after="0"/>
              <w:ind w:left="0" w:right="0" w:hanging="0"/>
              <w:jc w:val="center"/>
              <w:rPr/>
            </w:pPr>
            <w:r>
              <w:rPr/>
              <w:t>  ​ ​ ​</w:t>
            </w:r>
          </w:p>
        </w:tc>
        <w:tc>
          <w:tcPr>
            <w:tcW w:w="58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Principal ($)</w:t>
            </w:r>
          </w:p>
        </w:tc>
        <w:tc>
          <w:tcPr>
            <w:tcW w:w="346" w:type="dxa"/>
            <w:tcBorders/>
            <w:vAlign w:val="center"/>
          </w:tcPr>
          <w:p>
            <w:pPr>
              <w:pStyle w:val="TableContents"/>
              <w:bidi w:val="0"/>
              <w:spacing w:lineRule="auto" w:line="285"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lineRule="auto" w:line="285" w:before="0" w:after="0"/>
              <w:ind w:left="0" w:right="0" w:hanging="0"/>
              <w:jc w:val="center"/>
              <w:rPr/>
            </w:pPr>
            <w:r>
              <w:rPr/>
              <w:t>  ​ ​ ​</w:t>
            </w:r>
          </w:p>
        </w:tc>
        <w:tc>
          <w:tcPr>
            <w:tcW w:w="71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Basis</w:t>
            </w:r>
          </w:p>
        </w:tc>
        <w:tc>
          <w:tcPr>
            <w:tcW w:w="346" w:type="dxa"/>
            <w:tcBorders/>
            <w:vAlign w:val="center"/>
          </w:tcPr>
          <w:p>
            <w:pPr>
              <w:pStyle w:val="TableContents"/>
              <w:bidi w:val="0"/>
              <w:spacing w:lineRule="auto" w:line="285" w:before="0" w:after="0"/>
              <w:ind w:left="0" w:right="0" w:hanging="0"/>
              <w:jc w:val="center"/>
              <w:rPr/>
            </w:pPr>
            <w:r>
              <w:rPr/>
              <w:t>  ​ ​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54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r>
      <w:tr>
        <w:trPr/>
        <w:tc>
          <w:tcPr>
            <w:tcW w:w="1054"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Non-Control/Non-Affiliate Investments</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86"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7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89"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pPr>
            <w:r>
              <w:rPr/>
              <w:t>  ​</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84"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5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19"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9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4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pPr>
            <w:r>
              <w:rPr/>
              <w:t>  ​</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Debt Investments</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45" w:type="dxa"/>
            <w:tcBorders/>
            <w:vAlign w:val="center"/>
          </w:tcPr>
          <w:p>
            <w:pPr>
              <w:pStyle w:val="TableContents"/>
              <w:bidi w:val="0"/>
              <w:spacing w:lineRule="auto" w:line="328" w:before="0" w:after="160"/>
              <w:ind w:left="0" w:right="0" w:hanging="0"/>
              <w:jc w:val="center"/>
              <w:rPr/>
            </w:pPr>
            <w:r>
              <w:rPr/>
              <w:t>​</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Application Software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5" w:type="dxa"/>
            <w:tcBorders/>
            <w:shd w:fill="CCEEFF" w:val="clear"/>
            <w:vAlign w:val="center"/>
          </w:tcPr>
          <w:p>
            <w:pPr>
              <w:pStyle w:val="TableContents"/>
              <w:bidi w:val="0"/>
              <w:spacing w:lineRule="auto" w:line="328" w:before="0" w:after="160"/>
              <w:ind w:left="0" w:right="0" w:hanging="0"/>
              <w:jc w:val="center"/>
              <w:rPr/>
            </w:pPr>
            <w:r>
              <w:rPr/>
              <w:t>​</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Airship Group, Inc.</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pacing w:val="-2"/>
                <w:sz w:val="12"/>
              </w:rPr>
              <w:t>1225</w:t>
            </w:r>
            <w:r>
              <w:rPr>
                <w:rFonts w:ascii="Aptos" w:hAnsi="Aptos"/>
                <w:color w:val="231F20"/>
                <w:spacing w:val="-3"/>
                <w:sz w:val="12"/>
              </w:rPr>
              <w:t xml:space="preserve"> </w:t>
            </w:r>
            <w:r>
              <w:rPr>
                <w:rFonts w:ascii="Times New Roman;Times;serif" w:hAnsi="Times New Roman;Times;serif"/>
                <w:color w:val="231F20"/>
                <w:spacing w:val="-2"/>
                <w:sz w:val="12"/>
              </w:rPr>
              <w:t>West Burnside</w:t>
              <w:br/>
            </w:r>
            <w:r>
              <w:rPr>
                <w:rFonts w:ascii="Times New Roman;Times;serif" w:hAnsi="Times New Roman;Times;serif"/>
                <w:color w:val="231F20"/>
                <w:sz w:val="12"/>
              </w:rPr>
              <w:t>Suite</w:t>
            </w:r>
            <w:r>
              <w:rPr>
                <w:rFonts w:ascii="Aptos" w:hAnsi="Aptos"/>
                <w:color w:val="231F20"/>
                <w:spacing w:val="-4"/>
                <w:sz w:val="12"/>
              </w:rPr>
              <w:t xml:space="preserve"> </w:t>
            </w:r>
            <w:r>
              <w:rPr>
                <w:rFonts w:ascii="Times New Roman;Times;serif" w:hAnsi="Times New Roman;Times;serif"/>
                <w:color w:val="231F20"/>
                <w:sz w:val="12"/>
              </w:rPr>
              <w:t>401</w:t>
            </w:r>
            <w:r>
              <w:rPr>
                <w:rFonts w:ascii="Aptos" w:hAnsi="Aptos"/>
                <w:color w:val="231F20"/>
                <w:spacing w:val="-3"/>
                <w:sz w:val="12"/>
              </w:rPr>
              <w:t xml:space="preserve"> </w:t>
            </w:r>
            <w:r>
              <w:rPr>
                <w:rFonts w:ascii="Times New Roman;Times;serif" w:hAnsi="Times New Roman;Times;serif"/>
                <w:color w:val="231F20"/>
                <w:spacing w:val="-2"/>
                <w:sz w:val="12"/>
              </w:rPr>
              <w:t>Portland,</w:t>
              <w:br/>
            </w:r>
            <w:r>
              <w:rPr>
                <w:rFonts w:ascii="Times New Roman;Times;serif" w:hAnsi="Times New Roman;Times;serif"/>
                <w:color w:val="231F20"/>
                <w:sz w:val="12"/>
              </w:rPr>
              <w:t>OR</w:t>
            </w:r>
            <w:r>
              <w:rPr>
                <w:rFonts w:ascii="Aptos" w:hAnsi="Aptos"/>
                <w:color w:val="231F20"/>
                <w:spacing w:val="-5"/>
                <w:sz w:val="12"/>
              </w:rPr>
              <w:t xml:space="preserve"> </w:t>
            </w:r>
            <w:r>
              <w:rPr>
                <w:rFonts w:ascii="Times New Roman;Times;serif" w:hAnsi="Times New Roman;Times;serif"/>
                <w:color w:val="231F20"/>
                <w:sz w:val="12"/>
              </w:rPr>
              <w:t>97209</w:t>
            </w:r>
            <w:r>
              <w:rPr>
                <w:rFonts w:ascii="Aptos" w:hAnsi="Aptos"/>
                <w:color w:val="231F20"/>
                <w:spacing w:val="-4"/>
                <w:sz w:val="12"/>
              </w:rPr>
              <w:t xml:space="preserve"> </w:t>
            </w:r>
            <w:r>
              <w:rPr>
                <w:rFonts w:ascii="Times New Roman;Times;serif" w:hAnsi="Times New Roman;Times;serif"/>
                <w:color w:val="231F20"/>
                <w:sz w:val="12"/>
              </w:rPr>
              <w:t>United</w:t>
            </w:r>
            <w:r>
              <w:rPr>
                <w:rFonts w:ascii="Aptos" w:hAnsi="Aptos"/>
                <w:color w:val="231F20"/>
                <w:spacing w:val="-4"/>
                <w:sz w:val="12"/>
              </w:rPr>
              <w:t xml:space="preserve"> </w:t>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SOFR+3.75%,</w:t>
            </w:r>
            <w:r>
              <w:rPr>
                <w:rFonts w:ascii="Aptos" w:hAnsi="Aptos"/>
                <w:color w:val="231F20"/>
                <w:spacing w:val="-7"/>
                <w:sz w:val="12"/>
              </w:rPr>
              <w:t xml:space="preserve"> </w:t>
            </w:r>
            <w:r>
              <w:rPr>
                <w:rFonts w:ascii="Times New Roman;Times;serif" w:hAnsi="Times New Roman;Times;serif"/>
                <w:color w:val="231F20"/>
                <w:sz w:val="12"/>
              </w:rPr>
              <w:t>9.08%</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3.00%</w:t>
            </w:r>
            <w:r>
              <w:rPr>
                <w:rFonts w:ascii="Aptos" w:hAnsi="Aptos"/>
                <w:color w:val="231F20"/>
                <w:spacing w:val="-5"/>
                <w:sz w:val="12"/>
              </w:rPr>
              <w:t xml:space="preserve"> </w:t>
            </w:r>
            <w:r>
              <w:rPr>
                <w:rFonts w:ascii="Times New Roman;Times;serif" w:hAnsi="Times New Roman;Times;serif"/>
                <w:color w:val="231F20"/>
                <w:sz w:val="12"/>
              </w:rPr>
              <w:t>PIK,</w:t>
            </w:r>
            <w:r>
              <w:rPr>
                <w:rFonts w:ascii="Aptos" w:hAnsi="Aptos"/>
                <w:color w:val="231F20"/>
                <w:spacing w:val="-4"/>
                <w:sz w:val="12"/>
              </w:rPr>
              <w:t xml:space="preserve"> </w:t>
            </w:r>
            <w:r>
              <w:rPr>
                <w:rFonts w:ascii="Times New Roman;Times;serif" w:hAnsi="Times New Roman;Times;serif"/>
                <w:color w:val="231F20"/>
                <w:sz w:val="12"/>
              </w:rPr>
              <w:t>3.25%</w:t>
            </w:r>
            <w:r>
              <w:rPr>
                <w:rFonts w:ascii="Aptos" w:hAnsi="Aptos"/>
                <w:color w:val="231F20"/>
                <w:spacing w:val="-4"/>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6/15/2028</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48,759</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48,005</w:t>
            </w:r>
          </w:p>
        </w:tc>
        <w:tc>
          <w:tcPr>
            <w:tcW w:w="346" w:type="dxa"/>
            <w:tcBorders/>
            <w:vAlign w:val="center"/>
          </w:tcPr>
          <w:p>
            <w:pPr>
              <w:pStyle w:val="TableContents"/>
              <w:bidi w:val="0"/>
              <w:spacing w:lineRule="auto" w:line="328" w:before="0" w:after="160"/>
              <w:ind w:left="0" w:right="0" w:hanging="0"/>
              <w:jc w:val="left"/>
              <w:rPr/>
            </w:pPr>
            <w:r>
              <w:rPr/>
              <w:t>​</w:t>
            </w:r>
          </w:p>
        </w:tc>
        <w:tc>
          <w:tcPr>
            <w:tcW w:w="545"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47,952</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Blueshift Labs,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433</w:t>
            </w:r>
            <w:r>
              <w:rPr>
                <w:rFonts w:ascii="Aptos" w:hAnsi="Aptos"/>
                <w:color w:val="231F20"/>
                <w:spacing w:val="-9"/>
                <w:sz w:val="12"/>
              </w:rPr>
              <w:t xml:space="preserve"> </w:t>
            </w:r>
            <w:r>
              <w:rPr>
                <w:rFonts w:ascii="Times New Roman;Times;serif" w:hAnsi="Times New Roman;Times;serif"/>
                <w:color w:val="231F20"/>
                <w:sz w:val="12"/>
              </w:rPr>
              <w:t>California</w:t>
            </w:r>
            <w:r>
              <w:rPr>
                <w:rFonts w:ascii="Aptos" w:hAnsi="Aptos"/>
                <w:color w:val="231F20"/>
                <w:spacing w:val="-8"/>
                <w:sz w:val="12"/>
              </w:rPr>
              <w:t xml:space="preserve"> </w:t>
            </w:r>
            <w:r>
              <w:rPr>
                <w:rFonts w:ascii="Times New Roman;Times;serif" w:hAnsi="Times New Roman;Times;serif"/>
                <w:color w:val="231F20"/>
                <w:sz w:val="12"/>
              </w:rPr>
              <w:t>Street</w:t>
            </w:r>
            <w:r>
              <w:rPr>
                <w:rFonts w:ascii="Aptos" w:hAnsi="Aptos"/>
                <w:color w:val="231F20"/>
                <w:spacing w:val="-8"/>
                <w:sz w:val="12"/>
              </w:rPr>
              <w:t xml:space="preserve"> </w:t>
            </w:r>
            <w:r>
              <w:rPr>
                <w:rFonts w:ascii="Times New Roman;Times;serif" w:hAnsi="Times New Roman;Times;serif"/>
                <w:color w:val="231F20"/>
                <w:sz w:val="12"/>
              </w:rPr>
              <w:t>Suite</w:t>
              <w:br/>
              <w:t>800 8th Floor San</w:t>
              <w:br/>
              <w:t>Francisco, CA 94104</w:t>
              <w:b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SOFR+6.25%,</w:t>
            </w:r>
            <w:r>
              <w:rPr>
                <w:rFonts w:ascii="Aptos" w:hAnsi="Aptos"/>
                <w:color w:val="231F20"/>
                <w:spacing w:val="-8"/>
                <w:sz w:val="12"/>
              </w:rPr>
              <w:t xml:space="preserve"> </w:t>
            </w:r>
            <w:r>
              <w:rPr>
                <w:rFonts w:ascii="Times New Roman;Times;serif" w:hAnsi="Times New Roman;Times;serif"/>
                <w:color w:val="231F20"/>
                <w:sz w:val="12"/>
              </w:rPr>
              <w:t>11.25%</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2.00%</w:t>
            </w:r>
            <w:r>
              <w:rPr>
                <w:rFonts w:ascii="Aptos" w:hAnsi="Aptos"/>
                <w:color w:val="231F20"/>
                <w:spacing w:val="-5"/>
                <w:sz w:val="12"/>
              </w:rPr>
              <w:t xml:space="preserve"> </w:t>
            </w:r>
            <w:r>
              <w:rPr>
                <w:rFonts w:ascii="Times New Roman;Times;serif" w:hAnsi="Times New Roman;Times;serif"/>
                <w:color w:val="231F20"/>
                <w:sz w:val="12"/>
              </w:rPr>
              <w:t>PIK,</w:t>
            </w:r>
            <w:r>
              <w:rPr>
                <w:rFonts w:ascii="Aptos" w:hAnsi="Aptos"/>
                <w:color w:val="231F20"/>
                <w:spacing w:val="-4"/>
                <w:sz w:val="12"/>
              </w:rPr>
              <w:t xml:space="preserve"> </w:t>
            </w:r>
            <w:r>
              <w:rPr>
                <w:rFonts w:ascii="Times New Roman;Times;serif" w:hAnsi="Times New Roman;Times;serif"/>
                <w:color w:val="231F20"/>
                <w:sz w:val="12"/>
              </w:rPr>
              <w:t>1.50%</w:t>
            </w:r>
            <w:r>
              <w:rPr>
                <w:rFonts w:ascii="Aptos" w:hAnsi="Aptos"/>
                <w:color w:val="231F20"/>
                <w:spacing w:val="-4"/>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12/15/2028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25,886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25,573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23,777</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Circadence Corporation</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1900 9th Street Suite 300</w:t>
              <w:br/>
              <w:t>Boulder,</w:t>
            </w:r>
            <w:r>
              <w:rPr>
                <w:rFonts w:ascii="Aptos" w:hAnsi="Aptos"/>
                <w:color w:val="231F20"/>
                <w:spacing w:val="-9"/>
                <w:sz w:val="12"/>
              </w:rPr>
              <w:t xml:space="preserve"> </w:t>
            </w:r>
            <w:r>
              <w:rPr>
                <w:rFonts w:ascii="Times New Roman;Times;serif" w:hAnsi="Times New Roman;Times;serif"/>
                <w:color w:val="231F20"/>
                <w:sz w:val="12"/>
              </w:rPr>
              <w:t>CO</w:t>
            </w:r>
            <w:r>
              <w:rPr>
                <w:rFonts w:ascii="Aptos" w:hAnsi="Aptos"/>
                <w:color w:val="231F20"/>
                <w:spacing w:val="-8"/>
                <w:sz w:val="12"/>
              </w:rPr>
              <w:t xml:space="preserve"> </w:t>
            </w:r>
            <w:r>
              <w:rPr>
                <w:rFonts w:ascii="Times New Roman;Times;serif" w:hAnsi="Times New Roman;Times;serif"/>
                <w:color w:val="231F20"/>
                <w:sz w:val="12"/>
              </w:rPr>
              <w:t>80302</w:t>
            </w:r>
            <w:r>
              <w:rPr>
                <w:rFonts w:ascii="Aptos" w:hAnsi="Aptos"/>
                <w:color w:val="231F20"/>
                <w:spacing w:val="-8"/>
                <w:sz w:val="12"/>
              </w:rPr>
              <w:t xml:space="preserve"> </w:t>
            </w:r>
            <w:r>
              <w:rPr>
                <w:rFonts w:ascii="Times New Roman;Times;serif" w:hAnsi="Times New Roman;Times;serif"/>
                <w:color w:val="231F20"/>
                <w:sz w:val="12"/>
              </w:rPr>
              <w:t>United</w:t>
              <w:br/>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SOFR+9.50%,</w:t>
            </w:r>
            <w:r>
              <w:rPr>
                <w:rFonts w:ascii="Aptos" w:hAnsi="Aptos"/>
                <w:color w:val="231F20"/>
                <w:spacing w:val="-8"/>
                <w:sz w:val="12"/>
              </w:rPr>
              <w:t xml:space="preserve"> </w:t>
            </w:r>
            <w:r>
              <w:rPr>
                <w:rFonts w:ascii="Times New Roman;Times;serif" w:hAnsi="Times New Roman;Times;serif"/>
                <w:color w:val="231F20"/>
                <w:sz w:val="12"/>
              </w:rPr>
              <w:t>12.26%</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7.50%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12/15/2025</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23,752</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25,102</w:t>
            </w:r>
          </w:p>
        </w:tc>
        <w:tc>
          <w:tcPr>
            <w:tcW w:w="346" w:type="dxa"/>
            <w:tcBorders/>
            <w:vAlign w:val="center"/>
          </w:tcPr>
          <w:p>
            <w:pPr>
              <w:pStyle w:val="TableContents"/>
              <w:bidi w:val="0"/>
              <w:spacing w:lineRule="auto" w:line="328" w:before="0" w:after="160"/>
              <w:ind w:left="0" w:right="0" w:hanging="0"/>
              <w:jc w:val="left"/>
              <w:rPr/>
            </w:pPr>
            <w:r>
              <w:rPr/>
              <w:t>​</w:t>
            </w:r>
          </w:p>
        </w:tc>
        <w:tc>
          <w:tcPr>
            <w:tcW w:w="545"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20,034</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FiscalNote,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pacing w:val="-2"/>
                <w:sz w:val="12"/>
              </w:rPr>
              <w:t>1201</w:t>
            </w:r>
            <w:r>
              <w:rPr>
                <w:rFonts w:ascii="Aptos" w:hAnsi="Aptos"/>
                <w:color w:val="231F20"/>
                <w:spacing w:val="-7"/>
                <w:sz w:val="12"/>
              </w:rPr>
              <w:t xml:space="preserve"> </w:t>
            </w:r>
            <w:r>
              <w:rPr>
                <w:rFonts w:ascii="Times New Roman;Times;serif" w:hAnsi="Times New Roman;Times;serif"/>
                <w:color w:val="231F20"/>
                <w:spacing w:val="-2"/>
                <w:sz w:val="12"/>
              </w:rPr>
              <w:t>Pennsylvania</w:t>
            </w:r>
            <w:r>
              <w:rPr>
                <w:rFonts w:ascii="Aptos" w:hAnsi="Aptos"/>
                <w:color w:val="231F20"/>
                <w:spacing w:val="-6"/>
                <w:sz w:val="12"/>
              </w:rPr>
              <w:t xml:space="preserve"> </w:t>
            </w:r>
            <w:r>
              <w:rPr>
                <w:rFonts w:ascii="Times New Roman;Times;serif" w:hAnsi="Times New Roman;Times;serif"/>
                <w:color w:val="231F20"/>
                <w:spacing w:val="-2"/>
                <w:sz w:val="12"/>
              </w:rPr>
              <w:t>Avenue</w:t>
              <w:br/>
            </w:r>
            <w:r>
              <w:rPr>
                <w:rFonts w:ascii="Times New Roman;Times;serif" w:hAnsi="Times New Roman;Times;serif"/>
                <w:color w:val="231F20"/>
                <w:sz w:val="12"/>
              </w:rPr>
              <w:t>North West 6th Floor</w:t>
              <w:br/>
              <w:t>Washington, DC 20004</w:t>
              <w:b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PRIME+5.00%,</w:t>
            </w:r>
            <w:r>
              <w:rPr>
                <w:rFonts w:ascii="Aptos" w:hAnsi="Aptos"/>
                <w:color w:val="231F20"/>
                <w:spacing w:val="-8"/>
                <w:sz w:val="12"/>
              </w:rPr>
              <w:t xml:space="preserve"> </w:t>
            </w:r>
            <w:r>
              <w:rPr>
                <w:rFonts w:ascii="Times New Roman;Times;serif" w:hAnsi="Times New Roman;Times;serif"/>
                <w:color w:val="231F20"/>
                <w:sz w:val="12"/>
              </w:rPr>
              <w:t>9.00%</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1.00%</w:t>
            </w:r>
            <w:r>
              <w:rPr>
                <w:rFonts w:ascii="Aptos" w:hAnsi="Aptos"/>
                <w:color w:val="231F20"/>
                <w:spacing w:val="-5"/>
                <w:sz w:val="12"/>
              </w:rPr>
              <w:t xml:space="preserve"> </w:t>
            </w:r>
            <w:r>
              <w:rPr>
                <w:rFonts w:ascii="Times New Roman;Times;serif" w:hAnsi="Times New Roman;Times;serif"/>
                <w:color w:val="231F20"/>
                <w:sz w:val="12"/>
              </w:rPr>
              <w:t>PIK,</w:t>
            </w:r>
            <w:r>
              <w:rPr>
                <w:rFonts w:ascii="Aptos" w:hAnsi="Aptos"/>
                <w:color w:val="231F20"/>
                <w:spacing w:val="-4"/>
                <w:sz w:val="12"/>
              </w:rPr>
              <w:t xml:space="preserve"> </w:t>
            </w:r>
            <w:r>
              <w:rPr>
                <w:rFonts w:ascii="Times New Roman;Times;serif" w:hAnsi="Times New Roman;Times;serif"/>
                <w:color w:val="231F20"/>
                <w:sz w:val="12"/>
              </w:rPr>
              <w:t>5.75%</w:t>
            </w:r>
            <w:r>
              <w:rPr>
                <w:rFonts w:ascii="Aptos" w:hAnsi="Aptos"/>
                <w:color w:val="231F20"/>
                <w:spacing w:val="-4"/>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7/15/2027</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38,896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40,827</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37,872</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Snap! Mobile, Inc.</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8300 7th Avenue South</w:t>
              <w:br/>
            </w:r>
            <w:r>
              <w:rPr>
                <w:rFonts w:ascii="Times New Roman;Times;serif" w:hAnsi="Times New Roman;Times;serif"/>
                <w:color w:val="231F20"/>
                <w:spacing w:val="-2"/>
                <w:sz w:val="12"/>
              </w:rPr>
              <w:t>Seattle,</w:t>
            </w:r>
            <w:r>
              <w:rPr>
                <w:rFonts w:ascii="Aptos" w:hAnsi="Aptos"/>
                <w:color w:val="231F20"/>
                <w:spacing w:val="-7"/>
                <w:sz w:val="12"/>
              </w:rPr>
              <w:t xml:space="preserve"> </w:t>
            </w:r>
            <w:r>
              <w:rPr>
                <w:rFonts w:ascii="Times New Roman;Times;serif" w:hAnsi="Times New Roman;Times;serif"/>
                <w:color w:val="231F20"/>
                <w:spacing w:val="-2"/>
                <w:sz w:val="12"/>
              </w:rPr>
              <w:t>WA</w:t>
            </w:r>
            <w:r>
              <w:rPr>
                <w:rFonts w:ascii="Aptos" w:hAnsi="Aptos"/>
                <w:color w:val="231F20"/>
                <w:spacing w:val="-6"/>
                <w:sz w:val="12"/>
              </w:rPr>
              <w:t xml:space="preserve"> </w:t>
            </w:r>
            <w:r>
              <w:rPr>
                <w:rFonts w:ascii="Times New Roman;Times;serif" w:hAnsi="Times New Roman;Times;serif"/>
                <w:color w:val="231F20"/>
                <w:spacing w:val="-2"/>
                <w:sz w:val="12"/>
              </w:rPr>
              <w:t>98108</w:t>
            </w:r>
            <w:r>
              <w:rPr>
                <w:rFonts w:ascii="Aptos" w:hAnsi="Aptos"/>
                <w:color w:val="231F20"/>
                <w:spacing w:val="-6"/>
                <w:sz w:val="12"/>
              </w:rPr>
              <w:t xml:space="preserve"> </w:t>
            </w:r>
            <w:r>
              <w:rPr>
                <w:rFonts w:ascii="Times New Roman;Times;serif" w:hAnsi="Times New Roman;Times;serif"/>
                <w:color w:val="231F20"/>
                <w:spacing w:val="-2"/>
                <w:sz w:val="12"/>
              </w:rPr>
              <w:t>United</w:t>
              <w:b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SOFR+7.50%,</w:t>
            </w:r>
            <w:r>
              <w:rPr>
                <w:rFonts w:ascii="Aptos" w:hAnsi="Aptos"/>
                <w:color w:val="231F20"/>
                <w:spacing w:val="-8"/>
                <w:sz w:val="12"/>
              </w:rPr>
              <w:t xml:space="preserve"> </w:t>
            </w:r>
            <w:r>
              <w:rPr>
                <w:rFonts w:ascii="Times New Roman;Times;serif" w:hAnsi="Times New Roman;Times;serif"/>
                <w:color w:val="231F20"/>
                <w:sz w:val="12"/>
              </w:rPr>
              <w:t>12.10%</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3.83%</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9/30/2028</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18,000</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17,431</w:t>
            </w:r>
          </w:p>
        </w:tc>
        <w:tc>
          <w:tcPr>
            <w:tcW w:w="346" w:type="dxa"/>
            <w:tcBorders/>
            <w:vAlign w:val="center"/>
          </w:tcPr>
          <w:p>
            <w:pPr>
              <w:pStyle w:val="TableContents"/>
              <w:bidi w:val="0"/>
              <w:spacing w:lineRule="auto" w:line="328" w:before="0" w:after="160"/>
              <w:ind w:left="0" w:right="0" w:hanging="0"/>
              <w:jc w:val="left"/>
              <w:rPr/>
            </w:pPr>
            <w:r>
              <w:rPr/>
              <w:t>​</w:t>
            </w:r>
          </w:p>
        </w:tc>
        <w:tc>
          <w:tcPr>
            <w:tcW w:w="545"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17,431</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VTX Intermediate Holdings, Inc. (dba VertexOne)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1321 Upland Drive Suite</w:t>
              <w:br/>
              <w:t>8389</w:t>
            </w:r>
            <w:r>
              <w:rPr>
                <w:rFonts w:ascii="Aptos" w:hAnsi="Aptos"/>
                <w:color w:val="231F20"/>
                <w:spacing w:val="-9"/>
                <w:sz w:val="12"/>
              </w:rPr>
              <w:t xml:space="preserve"> </w:t>
            </w:r>
            <w:r>
              <w:rPr>
                <w:rFonts w:ascii="Times New Roman;Times;serif" w:hAnsi="Times New Roman;Times;serif"/>
                <w:color w:val="231F20"/>
                <w:sz w:val="12"/>
              </w:rPr>
              <w:t>Houston,</w:t>
            </w:r>
            <w:r>
              <w:rPr>
                <w:rFonts w:ascii="Aptos" w:hAnsi="Aptos"/>
                <w:color w:val="231F20"/>
                <w:spacing w:val="-8"/>
                <w:sz w:val="12"/>
              </w:rPr>
              <w:t xml:space="preserve"> </w:t>
            </w:r>
            <w:r>
              <w:rPr>
                <w:rFonts w:ascii="Times New Roman;Times;serif" w:hAnsi="Times New Roman;Times;serif"/>
                <w:color w:val="231F20"/>
                <w:sz w:val="12"/>
              </w:rPr>
              <w:t>TX</w:t>
            </w:r>
            <w:r>
              <w:rPr>
                <w:rFonts w:ascii="Aptos" w:hAnsi="Aptos"/>
                <w:color w:val="231F20"/>
                <w:spacing w:val="-8"/>
                <w:sz w:val="12"/>
              </w:rPr>
              <w:t xml:space="preserve"> </w:t>
            </w:r>
            <w:r>
              <w:rPr>
                <w:rFonts w:ascii="Times New Roman;Times;serif" w:hAnsi="Times New Roman;Times;serif"/>
                <w:color w:val="231F20"/>
                <w:sz w:val="12"/>
              </w:rPr>
              <w:t>77043</w:t>
              <w:b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SOFR+9.00%,</w:t>
            </w:r>
            <w:r>
              <w:rPr>
                <w:rFonts w:ascii="Aptos" w:hAnsi="Aptos"/>
                <w:color w:val="231F20"/>
                <w:spacing w:val="-7"/>
                <w:sz w:val="12"/>
              </w:rPr>
              <w:t xml:space="preserve"> </w:t>
            </w:r>
            <w:r>
              <w:rPr>
                <w:rFonts w:ascii="Times New Roman;Times;serif" w:hAnsi="Times New Roman;Times;serif"/>
                <w:color w:val="231F20"/>
                <w:sz w:val="12"/>
              </w:rPr>
              <w:t>9.50%</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10.00%</w:t>
            </w:r>
            <w:r>
              <w:rPr>
                <w:rFonts w:ascii="Aptos" w:hAnsi="Aptos"/>
                <w:color w:val="231F20"/>
                <w:spacing w:val="-7"/>
                <w:sz w:val="12"/>
              </w:rPr>
              <w:t xml:space="preserve"> </w:t>
            </w:r>
            <w:r>
              <w:rPr>
                <w:rFonts w:ascii="Times New Roman;Times;serif" w:hAnsi="Times New Roman;Times;serif"/>
                <w:color w:val="231F20"/>
                <w:sz w:val="12"/>
              </w:rPr>
              <w:t>cash</w:t>
            </w:r>
            <w:r>
              <w:rPr>
                <w:rFonts w:ascii="Aptos" w:hAnsi="Aptos"/>
                <w:color w:val="231F20"/>
                <w:spacing w:val="-6"/>
                <w:sz w:val="12"/>
              </w:rPr>
              <w:t xml:space="preserve"> </w:t>
            </w:r>
            <w:r>
              <w:rPr>
                <w:rFonts w:ascii="Times New Roman;Times;serif" w:hAnsi="Times New Roman;Times;serif"/>
                <w:color w:val="231F20"/>
                <w:sz w:val="12"/>
              </w:rPr>
              <w:t>cap,</w:t>
            </w:r>
            <w:r>
              <w:rPr>
                <w:rFonts w:ascii="Aptos" w:hAnsi="Aptos"/>
                <w:color w:val="231F20"/>
                <w:spacing w:val="-6"/>
                <w:sz w:val="12"/>
              </w:rPr>
              <w:t xml:space="preserve"> </w:t>
            </w:r>
            <w:r>
              <w:rPr>
                <w:rFonts w:ascii="Times New Roman;Times;serif" w:hAnsi="Times New Roman;Times;serif"/>
                <w:color w:val="231F20"/>
                <w:sz w:val="12"/>
              </w:rPr>
              <w:t>4.50%</w:t>
            </w:r>
            <w:r>
              <w:rPr>
                <w:rFonts w:ascii="Aptos" w:hAnsi="Aptos"/>
                <w:color w:val="231F20"/>
                <w:spacing w:val="-6"/>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12/28/2026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91,086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92,497</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89,313</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Application Software – 46.59%*</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249,435</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236,379</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Asset Management &amp; Custody Banks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5"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Betterment Holdings, Inc.</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450 West 33rd Street</w:t>
              <w:br/>
              <w:t>Eleventh Floor New York,</w:t>
              <w:br/>
              <w:t>NY 10001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PRIME+4.50%, 8.50% floor</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10/6/2027</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8,000</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7,905</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8,058</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Asset Management &amp; Custody Banks – 1.59%*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7,905</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8,058</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Data Processing &amp; Outsourced Services</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45"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Elevate Services,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2375 East Camelback</w:t>
              <w:br/>
              <w:t>Road</w:t>
            </w:r>
            <w:r>
              <w:rPr>
                <w:rFonts w:ascii="Aptos" w:hAnsi="Aptos"/>
                <w:color w:val="231F20"/>
                <w:spacing w:val="-9"/>
                <w:sz w:val="12"/>
              </w:rPr>
              <w:t xml:space="preserve"> </w:t>
            </w:r>
            <w:r>
              <w:rPr>
                <w:rFonts w:ascii="Times New Roman;Times;serif" w:hAnsi="Times New Roman;Times;serif"/>
                <w:color w:val="231F20"/>
                <w:sz w:val="12"/>
              </w:rPr>
              <w:t>Suite</w:t>
            </w:r>
            <w:r>
              <w:rPr>
                <w:rFonts w:ascii="Aptos" w:hAnsi="Aptos"/>
                <w:color w:val="231F20"/>
                <w:spacing w:val="-8"/>
                <w:sz w:val="12"/>
              </w:rPr>
              <w:t xml:space="preserve"> </w:t>
            </w:r>
            <w:r>
              <w:rPr>
                <w:rFonts w:ascii="Times New Roman;Times;serif" w:hAnsi="Times New Roman;Times;serif"/>
                <w:color w:val="231F20"/>
                <w:sz w:val="12"/>
              </w:rPr>
              <w:t>690</w:t>
            </w:r>
            <w:r>
              <w:rPr>
                <w:rFonts w:ascii="Aptos" w:hAnsi="Aptos"/>
                <w:color w:val="231F20"/>
                <w:spacing w:val="-8"/>
                <w:sz w:val="12"/>
              </w:rPr>
              <w:t xml:space="preserve"> </w:t>
            </w:r>
            <w:r>
              <w:rPr>
                <w:rFonts w:ascii="Times New Roman;Times;serif" w:hAnsi="Times New Roman;Times;serif"/>
                <w:color w:val="231F20"/>
                <w:sz w:val="12"/>
              </w:rPr>
              <w:t>Phoenix,</w:t>
              <w:br/>
              <w:t>AZ</w:t>
            </w:r>
            <w:r>
              <w:rPr>
                <w:rFonts w:ascii="Aptos" w:hAnsi="Aptos"/>
                <w:color w:val="231F20"/>
                <w:spacing w:val="-4"/>
                <w:sz w:val="12"/>
              </w:rPr>
              <w:t xml:space="preserve"> </w:t>
            </w:r>
            <w:r>
              <w:rPr>
                <w:rFonts w:ascii="Times New Roman;Times;serif" w:hAnsi="Times New Roman;Times;serif"/>
                <w:color w:val="231F20"/>
                <w:sz w:val="12"/>
              </w:rPr>
              <w:t>85016</w:t>
            </w:r>
            <w:r>
              <w:rPr>
                <w:rFonts w:ascii="Aptos" w:hAnsi="Aptos"/>
                <w:color w:val="231F20"/>
                <w:spacing w:val="-4"/>
                <w:sz w:val="12"/>
              </w:rPr>
              <w:t xml:space="preserve"> </w:t>
            </w:r>
            <w:r>
              <w:rPr>
                <w:rFonts w:ascii="Times New Roman;Times;serif" w:hAnsi="Times New Roman;Times;serif"/>
                <w:color w:val="231F20"/>
                <w:sz w:val="12"/>
              </w:rPr>
              <w:t>United</w:t>
            </w:r>
            <w:r>
              <w:rPr>
                <w:rFonts w:ascii="Aptos" w:hAnsi="Aptos"/>
                <w:color w:val="231F20"/>
                <w:spacing w:val="-4"/>
                <w:sz w:val="12"/>
              </w:rPr>
              <w:t xml:space="preserve"> </w:t>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SOFR+7.50%,</w:t>
            </w:r>
            <w:r>
              <w:rPr>
                <w:rFonts w:ascii="Aptos" w:hAnsi="Aptos"/>
                <w:color w:val="231F20"/>
                <w:spacing w:val="-8"/>
                <w:sz w:val="12"/>
              </w:rPr>
              <w:t xml:space="preserve"> </w:t>
            </w:r>
            <w:r>
              <w:rPr>
                <w:rFonts w:ascii="Times New Roman;Times;serif" w:hAnsi="Times New Roman;Times;serif"/>
                <w:color w:val="231F20"/>
                <w:sz w:val="12"/>
              </w:rPr>
              <w:t>12.78%</w:t>
            </w:r>
            <w:r>
              <w:rPr>
                <w:rFonts w:ascii="Aptos" w:hAnsi="Aptos"/>
                <w:color w:val="231F20"/>
                <w:spacing w:val="-7"/>
                <w:sz w:val="12"/>
              </w:rPr>
              <w:t xml:space="preserve"> </w:t>
            </w:r>
            <w:r>
              <w:rPr>
                <w:rFonts w:ascii="Times New Roman;Times;serif" w:hAnsi="Times New Roman;Times;serif"/>
                <w:color w:val="231F20"/>
                <w:spacing w:val="-2"/>
                <w:sz w:val="12"/>
              </w:rPr>
              <w:t>floor</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7/10/2027</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26,000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25,244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26,186</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Interactions Corporation</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31</w:t>
            </w:r>
            <w:r>
              <w:rPr>
                <w:rFonts w:ascii="Aptos" w:hAnsi="Aptos"/>
                <w:color w:val="231F20"/>
                <w:spacing w:val="-9"/>
                <w:sz w:val="12"/>
              </w:rPr>
              <w:t xml:space="preserve"> </w:t>
            </w:r>
            <w:r>
              <w:rPr>
                <w:rFonts w:ascii="Times New Roman;Times;serif" w:hAnsi="Times New Roman;Times;serif"/>
                <w:color w:val="231F20"/>
                <w:sz w:val="12"/>
              </w:rPr>
              <w:t>Hayward</w:t>
            </w:r>
            <w:r>
              <w:rPr>
                <w:rFonts w:ascii="Aptos" w:hAnsi="Aptos"/>
                <w:color w:val="231F20"/>
                <w:spacing w:val="-8"/>
                <w:sz w:val="12"/>
              </w:rPr>
              <w:t xml:space="preserve"> </w:t>
            </w:r>
            <w:r>
              <w:rPr>
                <w:rFonts w:ascii="Times New Roman;Times;serif" w:hAnsi="Times New Roman;Times;serif"/>
                <w:color w:val="231F20"/>
                <w:sz w:val="12"/>
              </w:rPr>
              <w:t>Street</w:t>
            </w:r>
            <w:r>
              <w:rPr>
                <w:rFonts w:ascii="Aptos" w:hAnsi="Aptos"/>
                <w:color w:val="231F20"/>
                <w:spacing w:val="-8"/>
                <w:sz w:val="12"/>
              </w:rPr>
              <w:t xml:space="preserve"> </w:t>
            </w:r>
            <w:r>
              <w:rPr>
                <w:rFonts w:ascii="Times New Roman;Times;serif" w:hAnsi="Times New Roman;Times;serif"/>
                <w:color w:val="231F20"/>
                <w:sz w:val="12"/>
              </w:rPr>
              <w:t>Suite</w:t>
            </w:r>
            <w:r>
              <w:rPr>
                <w:rFonts w:ascii="Aptos" w:hAnsi="Aptos"/>
                <w:color w:val="231F20"/>
                <w:spacing w:val="-8"/>
                <w:sz w:val="12"/>
              </w:rPr>
              <w:t xml:space="preserve"> </w:t>
            </w:r>
            <w:r>
              <w:rPr>
                <w:rFonts w:ascii="Times New Roman;Times;serif" w:hAnsi="Times New Roman;Times;serif"/>
                <w:color w:val="231F20"/>
                <w:sz w:val="12"/>
              </w:rPr>
              <w:t>E</w:t>
              <w:br/>
              <w:t>Franklin, MA 02038</w:t>
              <w:b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SOFR+9.26%,</w:t>
            </w:r>
            <w:r>
              <w:rPr>
                <w:rFonts w:ascii="Aptos" w:hAnsi="Aptos"/>
                <w:color w:val="231F20"/>
                <w:spacing w:val="-7"/>
                <w:sz w:val="12"/>
              </w:rPr>
              <w:t xml:space="preserve"> </w:t>
            </w:r>
            <w:r>
              <w:rPr>
                <w:rFonts w:ascii="Times New Roman;Times;serif" w:hAnsi="Times New Roman;Times;serif"/>
                <w:color w:val="231F20"/>
                <w:sz w:val="12"/>
              </w:rPr>
              <w:t>9.76%</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3.4375%</w:t>
            </w:r>
            <w:r>
              <w:rPr>
                <w:rFonts w:ascii="Aptos" w:hAnsi="Aptos"/>
                <w:color w:val="231F20"/>
                <w:spacing w:val="-6"/>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6/15/2027</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40,000</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40,236</w:t>
            </w:r>
          </w:p>
        </w:tc>
        <w:tc>
          <w:tcPr>
            <w:tcW w:w="346" w:type="dxa"/>
            <w:tcBorders/>
            <w:vAlign w:val="center"/>
          </w:tcPr>
          <w:p>
            <w:pPr>
              <w:pStyle w:val="TableContents"/>
              <w:bidi w:val="0"/>
              <w:spacing w:lineRule="auto" w:line="328" w:before="0" w:after="160"/>
              <w:ind w:left="0" w:right="0" w:hanging="0"/>
              <w:jc w:val="left"/>
              <w:rPr/>
            </w:pPr>
            <w:r>
              <w:rPr/>
              <w:t>​</w:t>
            </w:r>
          </w:p>
        </w:tc>
        <w:tc>
          <w:tcPr>
            <w:tcW w:w="545"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39,723</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Predactiv, Inc. (fka Sharethis,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3000 El Camino Real</w:t>
              <w:br/>
              <w:t>Building</w:t>
            </w:r>
            <w:r>
              <w:rPr>
                <w:rFonts w:ascii="Aptos" w:hAnsi="Aptos"/>
                <w:color w:val="231F20"/>
                <w:spacing w:val="-9"/>
                <w:sz w:val="12"/>
              </w:rPr>
              <w:t xml:space="preserve"> </w:t>
            </w:r>
            <w:r>
              <w:rPr>
                <w:rFonts w:ascii="Times New Roman;Times;serif" w:hAnsi="Times New Roman;Times;serif"/>
                <w:color w:val="231F20"/>
                <w:sz w:val="12"/>
              </w:rPr>
              <w:t>4,</w:t>
            </w:r>
            <w:r>
              <w:rPr>
                <w:rFonts w:ascii="Aptos" w:hAnsi="Aptos"/>
                <w:color w:val="231F20"/>
                <w:spacing w:val="-8"/>
                <w:sz w:val="12"/>
              </w:rPr>
              <w:t xml:space="preserve"> </w:t>
            </w:r>
            <w:r>
              <w:rPr>
                <w:rFonts w:ascii="Times New Roman;Times;serif" w:hAnsi="Times New Roman;Times;serif"/>
                <w:color w:val="231F20"/>
                <w:sz w:val="12"/>
              </w:rPr>
              <w:t>Suite</w:t>
            </w:r>
            <w:r>
              <w:rPr>
                <w:rFonts w:ascii="Aptos" w:hAnsi="Aptos"/>
                <w:color w:val="231F20"/>
                <w:spacing w:val="-8"/>
                <w:sz w:val="12"/>
              </w:rPr>
              <w:t xml:space="preserve"> </w:t>
            </w:r>
            <w:r>
              <w:rPr>
                <w:rFonts w:ascii="Times New Roman;Times;serif" w:hAnsi="Times New Roman;Times;serif"/>
                <w:color w:val="231F20"/>
                <w:sz w:val="12"/>
              </w:rPr>
              <w:t>200</w:t>
            </w:r>
            <w:r>
              <w:rPr>
                <w:rFonts w:ascii="Aptos" w:hAnsi="Aptos"/>
                <w:color w:val="231F20"/>
                <w:spacing w:val="-8"/>
                <w:sz w:val="12"/>
              </w:rPr>
              <w:t xml:space="preserve"> </w:t>
            </w:r>
            <w:r>
              <w:rPr>
                <w:rFonts w:ascii="Times New Roman;Times;serif" w:hAnsi="Times New Roman;Times;serif"/>
                <w:color w:val="231F20"/>
                <w:sz w:val="12"/>
              </w:rPr>
              <w:t>Palo</w:t>
              <w:br/>
              <w:t>Alto, CA 94306 United</w:t>
              <w:br/>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SOFR+9.25%,</w:t>
            </w:r>
            <w:r>
              <w:rPr>
                <w:rFonts w:ascii="Aptos" w:hAnsi="Aptos"/>
                <w:color w:val="231F20"/>
                <w:spacing w:val="-8"/>
                <w:sz w:val="12"/>
              </w:rPr>
              <w:t xml:space="preserve"> </w:t>
            </w:r>
            <w:r>
              <w:rPr>
                <w:rFonts w:ascii="Times New Roman;Times;serif" w:hAnsi="Times New Roman;Times;serif"/>
                <w:color w:val="231F20"/>
                <w:sz w:val="12"/>
              </w:rPr>
              <w:t>11.86%</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4.00%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10/31/2024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17,678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18,302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18,506</w:t>
            </w:r>
          </w:p>
        </w:tc>
      </w:tr>
      <w:tr>
        <w:trPr/>
        <w:tc>
          <w:tcPr>
            <w:tcW w:w="1054"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328" w:before="0" w:after="160"/>
              <w:ind w:left="0" w:right="0" w:hanging="0"/>
              <w:jc w:val="left"/>
              <w:rPr>
                <w:color w:val="231F20"/>
              </w:rPr>
            </w:pPr>
            <w:r>
              <w:rPr>
                <w:color w:val="231F20"/>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6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SOFR+8.25%,</w:t>
            </w:r>
            <w:r>
              <w:rPr>
                <w:rFonts w:ascii="Aptos" w:hAnsi="Aptos"/>
                <w:color w:val="231F20"/>
                <w:spacing w:val="-8"/>
                <w:sz w:val="12"/>
              </w:rPr>
              <w:t xml:space="preserve"> </w:t>
            </w:r>
            <w:r>
              <w:rPr>
                <w:rFonts w:ascii="Times New Roman;Times;serif" w:hAnsi="Times New Roman;Times;serif"/>
                <w:color w:val="231F20"/>
                <w:sz w:val="12"/>
              </w:rPr>
              <w:t>10.86%</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4.00%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10/31/2024</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842</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872</w:t>
            </w:r>
          </w:p>
        </w:tc>
        <w:tc>
          <w:tcPr>
            <w:tcW w:w="346" w:type="dxa"/>
            <w:tcBorders/>
            <w:vAlign w:val="center"/>
          </w:tcPr>
          <w:p>
            <w:pPr>
              <w:pStyle w:val="TableContents"/>
              <w:bidi w:val="0"/>
              <w:spacing w:lineRule="auto" w:line="328" w:before="0" w:after="160"/>
              <w:ind w:left="0" w:right="0" w:hanging="0"/>
              <w:jc w:val="left"/>
              <w:rPr/>
            </w:pPr>
            <w:r>
              <w:rPr/>
              <w:t>​</w:t>
            </w:r>
          </w:p>
        </w:tc>
        <w:tc>
          <w:tcPr>
            <w:tcW w:w="545"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881</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Vesta Payment Solutions,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pacing w:val="-2"/>
                <w:sz w:val="12"/>
              </w:rPr>
              <w:t>5400</w:t>
            </w:r>
            <w:r>
              <w:rPr>
                <w:rFonts w:ascii="Aptos" w:hAnsi="Aptos"/>
                <w:color w:val="231F20"/>
                <w:spacing w:val="-6"/>
                <w:sz w:val="12"/>
              </w:rPr>
              <w:t xml:space="preserve"> </w:t>
            </w:r>
            <w:r>
              <w:rPr>
                <w:rFonts w:ascii="Times New Roman;Times;serif" w:hAnsi="Times New Roman;Times;serif"/>
                <w:color w:val="231F20"/>
                <w:spacing w:val="-2"/>
                <w:sz w:val="12"/>
              </w:rPr>
              <w:t>Meadows</w:t>
            </w:r>
            <w:r>
              <w:rPr>
                <w:rFonts w:ascii="Aptos" w:hAnsi="Aptos"/>
                <w:color w:val="231F20"/>
                <w:spacing w:val="-6"/>
                <w:sz w:val="12"/>
              </w:rPr>
              <w:t xml:space="preserve"> </w:t>
            </w:r>
            <w:r>
              <w:rPr>
                <w:rFonts w:ascii="Times New Roman;Times;serif" w:hAnsi="Times New Roman;Times;serif"/>
                <w:color w:val="231F20"/>
                <w:spacing w:val="-2"/>
                <w:sz w:val="12"/>
              </w:rPr>
              <w:t>Road,</w:t>
            </w:r>
            <w:r>
              <w:rPr>
                <w:rFonts w:ascii="Aptos" w:hAnsi="Aptos"/>
                <w:color w:val="231F20"/>
                <w:spacing w:val="-6"/>
                <w:sz w:val="12"/>
              </w:rPr>
              <w:t xml:space="preserve"> </w:t>
            </w:r>
            <w:r>
              <w:rPr>
                <w:rFonts w:ascii="Times New Roman;Times;serif" w:hAnsi="Times New Roman;Times;serif"/>
                <w:color w:val="231F20"/>
                <w:spacing w:val="-2"/>
                <w:sz w:val="12"/>
              </w:rPr>
              <w:t>5th</w:t>
              <w:br/>
            </w:r>
            <w:r>
              <w:rPr>
                <w:rFonts w:ascii="Times New Roman;Times;serif" w:hAnsi="Times New Roman;Times;serif"/>
                <w:color w:val="231F20"/>
                <w:sz w:val="12"/>
              </w:rPr>
              <w:t>Floor Lake Oswego,</w:t>
              <w:br/>
              <w:t>OR</w:t>
            </w:r>
            <w:r>
              <w:rPr>
                <w:rFonts w:ascii="Aptos" w:hAnsi="Aptos"/>
                <w:color w:val="231F20"/>
                <w:spacing w:val="-5"/>
                <w:sz w:val="12"/>
              </w:rPr>
              <w:t xml:space="preserve"> </w:t>
            </w:r>
            <w:r>
              <w:rPr>
                <w:rFonts w:ascii="Times New Roman;Times;serif" w:hAnsi="Times New Roman;Times;serif"/>
                <w:color w:val="231F20"/>
                <w:sz w:val="12"/>
              </w:rPr>
              <w:t>97035</w:t>
            </w:r>
            <w:r>
              <w:rPr>
                <w:rFonts w:ascii="Aptos" w:hAnsi="Aptos"/>
                <w:color w:val="231F20"/>
                <w:spacing w:val="-4"/>
                <w:sz w:val="12"/>
              </w:rPr>
              <w:t xml:space="preserve"> </w:t>
            </w:r>
            <w:r>
              <w:rPr>
                <w:rFonts w:ascii="Times New Roman;Times;serif" w:hAnsi="Times New Roman;Times;serif"/>
                <w:color w:val="231F20"/>
                <w:sz w:val="12"/>
              </w:rPr>
              <w:t>United</w:t>
            </w:r>
            <w:r>
              <w:rPr>
                <w:rFonts w:ascii="Aptos" w:hAnsi="Aptos"/>
                <w:color w:val="231F20"/>
                <w:spacing w:val="-4"/>
                <w:sz w:val="12"/>
              </w:rPr>
              <w:t xml:space="preserve"> </w:t>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SOFR+7.00%,</w:t>
            </w:r>
            <w:r>
              <w:rPr>
                <w:rFonts w:ascii="Aptos" w:hAnsi="Aptos"/>
                <w:color w:val="231F20"/>
                <w:spacing w:val="-7"/>
                <w:sz w:val="12"/>
              </w:rPr>
              <w:t xml:space="preserve"> </w:t>
            </w:r>
            <w:r>
              <w:rPr>
                <w:rFonts w:ascii="Times New Roman;Times;serif" w:hAnsi="Times New Roman;Times;serif"/>
                <w:color w:val="231F20"/>
                <w:sz w:val="12"/>
              </w:rPr>
              <w:t>9.00%</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5.00%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11/15/2026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25,000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25,291</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22,441</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Data Processing &amp; Outsourced Services – 21.23%*</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109,945</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107,737</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Electronic Equipment &amp; Instruments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5"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Brivo, Inc.</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7700 Old Georgetown</w:t>
              <w:br/>
              <w:t>Road</w:t>
            </w:r>
            <w:r>
              <w:rPr>
                <w:rFonts w:ascii="Aptos" w:hAnsi="Aptos"/>
                <w:color w:val="231F20"/>
                <w:spacing w:val="-9"/>
                <w:sz w:val="12"/>
              </w:rPr>
              <w:t xml:space="preserve"> </w:t>
            </w:r>
            <w:r>
              <w:rPr>
                <w:rFonts w:ascii="Times New Roman;Times;serif" w:hAnsi="Times New Roman;Times;serif"/>
                <w:color w:val="231F20"/>
                <w:sz w:val="12"/>
              </w:rPr>
              <w:t>Suite</w:t>
            </w:r>
            <w:r>
              <w:rPr>
                <w:rFonts w:ascii="Aptos" w:hAnsi="Aptos"/>
                <w:color w:val="231F20"/>
                <w:spacing w:val="-8"/>
                <w:sz w:val="12"/>
              </w:rPr>
              <w:t xml:space="preserve"> </w:t>
            </w:r>
            <w:r>
              <w:rPr>
                <w:rFonts w:ascii="Times New Roman;Times;serif" w:hAnsi="Times New Roman;Times;serif"/>
                <w:color w:val="231F20"/>
                <w:sz w:val="12"/>
              </w:rPr>
              <w:t>300</w:t>
            </w:r>
            <w:r>
              <w:rPr>
                <w:rFonts w:ascii="Aptos" w:hAnsi="Aptos"/>
                <w:color w:val="231F20"/>
                <w:spacing w:val="-8"/>
                <w:sz w:val="12"/>
              </w:rPr>
              <w:t xml:space="preserve"> </w:t>
            </w:r>
            <w:r>
              <w:rPr>
                <w:rFonts w:ascii="Times New Roman;Times;serif" w:hAnsi="Times New Roman;Times;serif"/>
                <w:color w:val="231F20"/>
                <w:sz w:val="12"/>
              </w:rPr>
              <w:t>Bethesda,</w:t>
              <w:br/>
              <w:t>MD</w:t>
            </w:r>
            <w:r>
              <w:rPr>
                <w:rFonts w:ascii="Aptos" w:hAnsi="Aptos"/>
                <w:color w:val="231F20"/>
                <w:spacing w:val="-5"/>
                <w:sz w:val="12"/>
              </w:rPr>
              <w:t xml:space="preserve"> </w:t>
            </w:r>
            <w:r>
              <w:rPr>
                <w:rFonts w:ascii="Times New Roman;Times;serif" w:hAnsi="Times New Roman;Times;serif"/>
                <w:color w:val="231F20"/>
                <w:sz w:val="12"/>
              </w:rPr>
              <w:t>20814</w:t>
            </w:r>
            <w:r>
              <w:rPr>
                <w:rFonts w:ascii="Aptos" w:hAnsi="Aptos"/>
                <w:color w:val="231F20"/>
                <w:spacing w:val="-4"/>
                <w:sz w:val="12"/>
              </w:rPr>
              <w:t xml:space="preserve"> </w:t>
            </w:r>
            <w:r>
              <w:rPr>
                <w:rFonts w:ascii="Times New Roman;Times;serif" w:hAnsi="Times New Roman;Times;serif"/>
                <w:color w:val="231F20"/>
                <w:sz w:val="12"/>
              </w:rPr>
              <w:t>United</w:t>
            </w:r>
            <w:r>
              <w:rPr>
                <w:rFonts w:ascii="Aptos" w:hAnsi="Aptos"/>
                <w:color w:val="231F20"/>
                <w:spacing w:val="-4"/>
                <w:sz w:val="12"/>
              </w:rPr>
              <w:t xml:space="preserve"> </w:t>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SOFR+6.85%,</w:t>
            </w:r>
            <w:r>
              <w:rPr>
                <w:rFonts w:ascii="Aptos" w:hAnsi="Aptos"/>
                <w:color w:val="231F20"/>
                <w:spacing w:val="-8"/>
                <w:sz w:val="12"/>
              </w:rPr>
              <w:t xml:space="preserve"> </w:t>
            </w:r>
            <w:r>
              <w:rPr>
                <w:rFonts w:ascii="Times New Roman;Times;serif" w:hAnsi="Times New Roman;Times;serif"/>
                <w:color w:val="231F20"/>
                <w:sz w:val="12"/>
              </w:rPr>
              <w:t>10.89%</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3.00%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10/20/2027</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32,293</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32,424</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32,725</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Electronic Equipment &amp; Instruments – 6.45%*</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32,424</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32,725</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Healthcare Equipment</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45"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10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Moximed,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6"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46602</w:t>
            </w:r>
            <w:r>
              <w:rPr>
                <w:rFonts w:ascii="Aptos" w:hAnsi="Aptos"/>
                <w:color w:val="231F20"/>
                <w:spacing w:val="-5"/>
                <w:sz w:val="12"/>
              </w:rPr>
              <w:t xml:space="preserve"> </w:t>
            </w:r>
            <w:r>
              <w:rPr>
                <w:rFonts w:ascii="Times New Roman;Times;serif" w:hAnsi="Times New Roman;Times;serif"/>
                <w:color w:val="231F20"/>
                <w:sz w:val="12"/>
              </w:rPr>
              <w:t>Landing</w:t>
            </w:r>
            <w:r>
              <w:rPr>
                <w:rFonts w:ascii="Aptos" w:hAnsi="Aptos"/>
                <w:color w:val="231F20"/>
                <w:spacing w:val="-5"/>
                <w:sz w:val="12"/>
              </w:rPr>
              <w:t xml:space="preserve"> </w:t>
            </w:r>
            <w:r>
              <w:rPr>
                <w:rFonts w:ascii="Times New Roman;Times;serif" w:hAnsi="Times New Roman;Times;serif"/>
                <w:color w:val="231F20"/>
                <w:spacing w:val="-2"/>
                <w:sz w:val="12"/>
              </w:rPr>
              <w:t>Parkway</w:t>
              <w:br/>
            </w:r>
            <w:r>
              <w:rPr>
                <w:rFonts w:ascii="Times New Roman;Times;serif" w:hAnsi="Times New Roman;Times;serif"/>
                <w:color w:val="231F20"/>
                <w:sz w:val="12"/>
              </w:rPr>
              <w:t>Fremont,</w:t>
            </w:r>
            <w:r>
              <w:rPr>
                <w:rFonts w:ascii="Aptos" w:hAnsi="Aptos"/>
                <w:color w:val="231F20"/>
                <w:spacing w:val="-9"/>
                <w:sz w:val="12"/>
              </w:rPr>
              <w:t xml:space="preserve"> </w:t>
            </w:r>
            <w:r>
              <w:rPr>
                <w:rFonts w:ascii="Times New Roman;Times;serif" w:hAnsi="Times New Roman;Times;serif"/>
                <w:color w:val="231F20"/>
                <w:sz w:val="12"/>
              </w:rPr>
              <w:t>CA</w:t>
            </w:r>
            <w:r>
              <w:rPr>
                <w:rFonts w:ascii="Aptos" w:hAnsi="Aptos"/>
                <w:color w:val="231F20"/>
                <w:spacing w:val="-8"/>
                <w:sz w:val="12"/>
              </w:rPr>
              <w:t xml:space="preserve"> </w:t>
            </w:r>
            <w:r>
              <w:rPr>
                <w:rFonts w:ascii="Times New Roman;Times;serif" w:hAnsi="Times New Roman;Times;serif"/>
                <w:color w:val="231F20"/>
                <w:sz w:val="12"/>
              </w:rPr>
              <w:t>94538</w:t>
              <w:b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PRIME+5.25%,</w:t>
            </w:r>
            <w:r>
              <w:rPr>
                <w:rFonts w:ascii="Aptos" w:hAnsi="Aptos"/>
                <w:color w:val="231F20"/>
                <w:spacing w:val="-8"/>
                <w:sz w:val="12"/>
              </w:rPr>
              <w:t xml:space="preserve"> </w:t>
            </w:r>
            <w:r>
              <w:rPr>
                <w:rFonts w:ascii="Times New Roman;Times;serif" w:hAnsi="Times New Roman;Times;serif"/>
                <w:color w:val="231F20"/>
                <w:sz w:val="12"/>
              </w:rPr>
              <w:t>8.75%</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3.50%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7/1/2027</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15,000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15,038</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15,350</w:t>
            </w:r>
          </w:p>
        </w:tc>
      </w:tr>
      <w:tr>
        <w:trPr/>
        <w:tc>
          <w:tcPr>
            <w:tcW w:w="1054"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Healthcare Equipment – 3.03%*</w:t>
            </w:r>
          </w:p>
        </w:tc>
        <w:tc>
          <w:tcPr>
            <w:tcW w:w="346" w:type="dxa"/>
            <w:tcBorders/>
            <w:vAlign w:val="center"/>
          </w:tcPr>
          <w:p>
            <w:pPr>
              <w:pStyle w:val="TableContents"/>
              <w:bidi w:val="0"/>
              <w:spacing w:lineRule="auto" w:line="328" w:before="0" w:after="160"/>
              <w:ind w:left="0" w:right="0" w:hanging="0"/>
              <w:jc w:val="left"/>
              <w:rPr/>
            </w:pPr>
            <w:r>
              <w:rPr/>
              <w:t>​</w:t>
            </w:r>
          </w:p>
        </w:tc>
        <w:tc>
          <w:tcPr>
            <w:tcW w:w="7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7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15,038</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58"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15,350</w:t>
            </w:r>
          </w:p>
        </w:tc>
      </w:tr>
    </w:tbl>
    <w:tbl>
      <w:tblPr>
        <w:tblW w:w="3017" w:type="dxa"/>
        <w:jc w:val="left"/>
        <w:tblInd w:w="200" w:type="dxa"/>
        <w:tblLayout w:type="fixed"/>
        <w:tblCellMar>
          <w:top w:w="0" w:type="dxa"/>
          <w:left w:w="0" w:type="dxa"/>
          <w:bottom w:w="0" w:type="dxa"/>
          <w:right w:w="0" w:type="dxa"/>
        </w:tblCellMar>
      </w:tblPr>
      <w:tblGrid>
        <w:gridCol w:w="226"/>
        <w:gridCol w:w="2791"/>
      </w:tblGrid>
      <w:tr>
        <w:trPr/>
        <w:tc>
          <w:tcPr>
            <w:tcW w:w="22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w:t>
            </w:r>
          </w:p>
        </w:tc>
        <w:tc>
          <w:tcPr>
            <w:tcW w:w="279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Value as percentage of net assets</w:t>
            </w:r>
          </w:p>
        </w:tc>
      </w:tr>
    </w:tbl>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28" w:before="0" w:after="16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947"/>
        <w:gridCol w:w="346"/>
        <w:gridCol w:w="997"/>
        <w:gridCol w:w="346"/>
        <w:gridCol w:w="691"/>
        <w:gridCol w:w="346"/>
        <w:gridCol w:w="718"/>
        <w:gridCol w:w="346"/>
        <w:gridCol w:w="590"/>
        <w:gridCol w:w="346"/>
        <w:gridCol w:w="573"/>
        <w:gridCol w:w="346"/>
        <w:gridCol w:w="451"/>
        <w:gridCol w:w="346"/>
        <w:gridCol w:w="708"/>
        <w:gridCol w:w="346"/>
        <w:gridCol w:w="484"/>
        <w:gridCol w:w="346"/>
        <w:gridCol w:w="532"/>
      </w:tblGrid>
      <w:tr>
        <w:trPr/>
        <w:tc>
          <w:tcPr>
            <w:tcW w:w="9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ind w:left="0" w:right="0" w:hanging="0"/>
              <w:jc w:val="left"/>
              <w:rPr>
                <w:sz w:val="4"/>
                <w:szCs w:val="4"/>
              </w:rPr>
            </w:pPr>
            <w:r>
              <w:rPr>
                <w:sz w:val="4"/>
                <w:szCs w:val="4"/>
              </w:rPr>
            </w:r>
          </w:p>
        </w:tc>
      </w:tr>
      <w:tr>
        <w:trPr/>
        <w:tc>
          <w:tcPr>
            <w:tcW w:w="94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9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1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9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0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8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32" w:type="dxa"/>
            <w:tcBorders/>
            <w:vAlign w:val="center"/>
          </w:tcPr>
          <w:p>
            <w:pPr>
              <w:pStyle w:val="TableContents"/>
              <w:bidi w:val="0"/>
              <w:spacing w:before="0" w:after="283"/>
              <w:ind w:left="0" w:right="0" w:hanging="0"/>
              <w:jc w:val="left"/>
              <w:rPr>
                <w:sz w:val="4"/>
                <w:szCs w:val="4"/>
              </w:rPr>
            </w:pPr>
            <w:r>
              <w:rPr>
                <w:sz w:val="4"/>
                <w:szCs w:val="4"/>
              </w:rPr>
            </w:r>
          </w:p>
        </w:tc>
      </w:tr>
      <w:tr>
        <w:trPr/>
        <w:tc>
          <w:tcPr>
            <w:tcW w:w="94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9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1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9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Percentage of</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8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32" w:type="dxa"/>
            <w:tcBorders/>
            <w:vAlign w:val="center"/>
          </w:tcPr>
          <w:p>
            <w:pPr>
              <w:pStyle w:val="TableContents"/>
              <w:bidi w:val="0"/>
              <w:spacing w:before="0" w:after="283"/>
              <w:ind w:left="0" w:right="0" w:hanging="0"/>
              <w:jc w:val="left"/>
              <w:rPr>
                <w:sz w:val="4"/>
                <w:szCs w:val="4"/>
              </w:rPr>
            </w:pPr>
            <w:r>
              <w:rPr>
                <w:sz w:val="4"/>
                <w:szCs w:val="4"/>
              </w:rPr>
            </w:r>
          </w:p>
        </w:tc>
      </w:tr>
      <w:tr>
        <w:trPr/>
        <w:tc>
          <w:tcPr>
            <w:tcW w:w="947"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997"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1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9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7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Class Held on a</w:t>
            </w:r>
          </w:p>
        </w:tc>
        <w:tc>
          <w:tcPr>
            <w:tcW w:w="346" w:type="dxa"/>
            <w:tcBorders/>
            <w:vAlign w:val="center"/>
          </w:tcPr>
          <w:p>
            <w:pPr>
              <w:pStyle w:val="TableContents"/>
              <w:bidi w:val="0"/>
              <w:spacing w:lineRule="auto" w:line="328" w:before="0" w:after="160"/>
              <w:ind w:left="0" w:right="0" w:hanging="0"/>
              <w:jc w:val="center"/>
              <w:rPr/>
            </w:pPr>
            <w:r>
              <w:rPr/>
              <w:t>​</w:t>
            </w:r>
          </w:p>
        </w:tc>
        <w:tc>
          <w:tcPr>
            <w:tcW w:w="484"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32"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Fair</w:t>
            </w:r>
          </w:p>
        </w:tc>
      </w:tr>
      <w:tr>
        <w:trPr/>
        <w:tc>
          <w:tcPr>
            <w:tcW w:w="947"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997"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46" w:type="dxa"/>
            <w:tcBorders/>
            <w:vAlign w:val="center"/>
          </w:tcPr>
          <w:p>
            <w:pPr>
              <w:pStyle w:val="TableContents"/>
              <w:bidi w:val="0"/>
              <w:spacing w:lineRule="auto" w:line="328" w:before="0" w:after="160"/>
              <w:ind w:left="0" w:right="0" w:hanging="0"/>
              <w:jc w:val="center"/>
              <w:rPr/>
            </w:pPr>
            <w:r>
              <w:rPr/>
              <w:t>​</w:t>
            </w:r>
          </w:p>
        </w:tc>
        <w:tc>
          <w:tcPr>
            <w:tcW w:w="71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9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7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Fully Diluted</w:t>
            </w:r>
          </w:p>
        </w:tc>
        <w:tc>
          <w:tcPr>
            <w:tcW w:w="346" w:type="dxa"/>
            <w:tcBorders/>
            <w:vAlign w:val="center"/>
          </w:tcPr>
          <w:p>
            <w:pPr>
              <w:pStyle w:val="TableContents"/>
              <w:bidi w:val="0"/>
              <w:spacing w:lineRule="auto" w:line="328" w:before="0" w:after="160"/>
              <w:ind w:left="0" w:right="0" w:hanging="0"/>
              <w:jc w:val="center"/>
              <w:rPr/>
            </w:pPr>
            <w:r>
              <w:rPr/>
              <w:t>​</w:t>
            </w:r>
          </w:p>
        </w:tc>
        <w:tc>
          <w:tcPr>
            <w:tcW w:w="484"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Cost</w:t>
            </w:r>
          </w:p>
        </w:tc>
        <w:tc>
          <w:tcPr>
            <w:tcW w:w="346" w:type="dxa"/>
            <w:tcBorders/>
            <w:vAlign w:val="center"/>
          </w:tcPr>
          <w:p>
            <w:pPr>
              <w:pStyle w:val="TableContents"/>
              <w:bidi w:val="0"/>
              <w:spacing w:lineRule="auto" w:line="328" w:before="0" w:after="160"/>
              <w:ind w:left="0" w:right="0" w:hanging="0"/>
              <w:jc w:val="center"/>
              <w:rPr/>
            </w:pPr>
            <w:r>
              <w:rPr/>
              <w:t>​</w:t>
            </w:r>
          </w:p>
        </w:tc>
        <w:tc>
          <w:tcPr>
            <w:tcW w:w="532"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Value</w:t>
            </w:r>
          </w:p>
        </w:tc>
      </w:tr>
      <w:tr>
        <w:trPr/>
        <w:tc>
          <w:tcPr>
            <w:tcW w:w="94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Portfolio Company</w:t>
            </w:r>
          </w:p>
        </w:tc>
        <w:tc>
          <w:tcPr>
            <w:tcW w:w="346" w:type="dxa"/>
            <w:tcBorders/>
            <w:vAlign w:val="center"/>
          </w:tcPr>
          <w:p>
            <w:pPr>
              <w:pStyle w:val="TableContents"/>
              <w:bidi w:val="0"/>
              <w:spacing w:lineRule="auto" w:line="285" w:before="0" w:after="0"/>
              <w:ind w:left="0" w:right="0" w:hanging="0"/>
              <w:jc w:val="center"/>
              <w:rPr/>
            </w:pPr>
            <w:r>
              <w:rPr/>
              <w:t>  ​ ​ ​</w:t>
            </w:r>
          </w:p>
        </w:tc>
        <w:tc>
          <w:tcPr>
            <w:tcW w:w="99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w:t>
            </w:r>
          </w:p>
        </w:tc>
        <w:tc>
          <w:tcPr>
            <w:tcW w:w="346" w:type="dxa"/>
            <w:tcBorders/>
            <w:vAlign w:val="center"/>
          </w:tcPr>
          <w:p>
            <w:pPr>
              <w:pStyle w:val="TableContents"/>
              <w:bidi w:val="0"/>
              <w:spacing w:lineRule="auto" w:line="285"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Type</w:t>
            </w:r>
          </w:p>
        </w:tc>
        <w:tc>
          <w:tcPr>
            <w:tcW w:w="346" w:type="dxa"/>
            <w:tcBorders/>
            <w:vAlign w:val="center"/>
          </w:tcPr>
          <w:p>
            <w:pPr>
              <w:pStyle w:val="TableContents"/>
              <w:bidi w:val="0"/>
              <w:spacing w:lineRule="auto" w:line="285" w:before="0" w:after="0"/>
              <w:ind w:left="0" w:right="0" w:hanging="0"/>
              <w:jc w:val="center"/>
              <w:rPr/>
            </w:pPr>
            <w:r>
              <w:rPr/>
              <w:t>  ​ ​ ​</w:t>
            </w:r>
          </w:p>
        </w:tc>
        <w:tc>
          <w:tcPr>
            <w:tcW w:w="71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 Description</w:t>
            </w:r>
          </w:p>
        </w:tc>
        <w:tc>
          <w:tcPr>
            <w:tcW w:w="346" w:type="dxa"/>
            <w:tcBorders/>
            <w:vAlign w:val="center"/>
          </w:tcPr>
          <w:p>
            <w:pPr>
              <w:pStyle w:val="TableContents"/>
              <w:bidi w:val="0"/>
              <w:spacing w:lineRule="auto" w:line="285" w:before="0" w:after="0"/>
              <w:ind w:left="0" w:right="0" w:hanging="0"/>
              <w:jc w:val="center"/>
              <w:rPr/>
            </w:pPr>
            <w:r>
              <w:rPr/>
              <w:t>  ​ ​ ​</w:t>
            </w:r>
          </w:p>
        </w:tc>
        <w:tc>
          <w:tcPr>
            <w:tcW w:w="59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Maturity Date</w:t>
            </w:r>
          </w:p>
        </w:tc>
        <w:tc>
          <w:tcPr>
            <w:tcW w:w="346" w:type="dxa"/>
            <w:tcBorders/>
            <w:vAlign w:val="center"/>
          </w:tcPr>
          <w:p>
            <w:pPr>
              <w:pStyle w:val="TableContents"/>
              <w:bidi w:val="0"/>
              <w:spacing w:lineRule="auto" w:line="285" w:before="0" w:after="0"/>
              <w:ind w:left="0" w:right="0" w:hanging="0"/>
              <w:jc w:val="center"/>
              <w:rPr/>
            </w:pPr>
            <w:r>
              <w:rPr/>
              <w:t>  ​ ​ ​</w:t>
            </w:r>
          </w:p>
        </w:tc>
        <w:tc>
          <w:tcPr>
            <w:tcW w:w="57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Principal ($)</w:t>
            </w:r>
          </w:p>
        </w:tc>
        <w:tc>
          <w:tcPr>
            <w:tcW w:w="346" w:type="dxa"/>
            <w:tcBorders/>
            <w:vAlign w:val="center"/>
          </w:tcPr>
          <w:p>
            <w:pPr>
              <w:pStyle w:val="TableContents"/>
              <w:bidi w:val="0"/>
              <w:spacing w:lineRule="auto" w:line="285"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lineRule="auto" w:line="285" w:before="0" w:after="0"/>
              <w:ind w:left="0" w:right="0" w:hanging="0"/>
              <w:jc w:val="center"/>
              <w:rPr/>
            </w:pPr>
            <w:r>
              <w:rPr/>
              <w:t>  ​ ​ ​</w:t>
            </w:r>
          </w:p>
        </w:tc>
        <w:tc>
          <w:tcPr>
            <w:tcW w:w="70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Basis</w:t>
            </w:r>
          </w:p>
        </w:tc>
        <w:tc>
          <w:tcPr>
            <w:tcW w:w="346" w:type="dxa"/>
            <w:tcBorders/>
            <w:vAlign w:val="center"/>
          </w:tcPr>
          <w:p>
            <w:pPr>
              <w:pStyle w:val="TableContents"/>
              <w:bidi w:val="0"/>
              <w:spacing w:lineRule="auto" w:line="285" w:before="0" w:after="0"/>
              <w:ind w:left="0" w:right="0" w:hanging="0"/>
              <w:jc w:val="center"/>
              <w:rPr/>
            </w:pPr>
            <w:r>
              <w:rPr/>
              <w:t>  ​ ​ ​</w:t>
            </w:r>
          </w:p>
        </w:tc>
        <w:tc>
          <w:tcPr>
            <w:tcW w:w="48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53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r>
      <w:tr>
        <w:trPr/>
        <w:tc>
          <w:tcPr>
            <w:tcW w:w="947"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Healthcare Technology</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EBR Systems, Inc.</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480</w:t>
            </w:r>
            <w:r>
              <w:rPr>
                <w:rFonts w:ascii="Aptos" w:hAnsi="Aptos"/>
                <w:color w:val="231F20"/>
                <w:spacing w:val="-8"/>
                <w:sz w:val="12"/>
              </w:rPr>
              <w:t xml:space="preserve"> </w:t>
            </w:r>
            <w:r>
              <w:rPr>
                <w:rFonts w:ascii="Times New Roman;Times;serif" w:hAnsi="Times New Roman;Times;serif"/>
                <w:color w:val="231F20"/>
                <w:sz w:val="12"/>
              </w:rPr>
              <w:t>Oakmead</w:t>
            </w:r>
            <w:r>
              <w:rPr>
                <w:rFonts w:ascii="Aptos" w:hAnsi="Aptos"/>
                <w:color w:val="231F20"/>
                <w:spacing w:val="-8"/>
                <w:sz w:val="12"/>
              </w:rPr>
              <w:t xml:space="preserve"> </w:t>
            </w:r>
            <w:r>
              <w:rPr>
                <w:rFonts w:ascii="Times New Roman;Times;serif" w:hAnsi="Times New Roman;Times;serif"/>
                <w:color w:val="231F20"/>
                <w:spacing w:val="-2"/>
                <w:sz w:val="12"/>
              </w:rPr>
              <w:t>Parkway</w:t>
              <w:br/>
              <w:t>Sunnyvale,</w:t>
            </w:r>
            <w:r>
              <w:rPr>
                <w:rFonts w:ascii="Aptos" w:hAnsi="Aptos"/>
                <w:color w:val="231F20"/>
                <w:spacing w:val="-5"/>
                <w:sz w:val="12"/>
              </w:rPr>
              <w:t xml:space="preserve"> </w:t>
            </w:r>
            <w:r>
              <w:rPr>
                <w:rFonts w:ascii="Times New Roman;Times;serif" w:hAnsi="Times New Roman;Times;serif"/>
                <w:color w:val="231F20"/>
                <w:spacing w:val="-2"/>
                <w:sz w:val="12"/>
              </w:rPr>
              <w:t>CA</w:t>
            </w:r>
            <w:r>
              <w:rPr>
                <w:rFonts w:ascii="Aptos" w:hAnsi="Aptos"/>
                <w:color w:val="231F20"/>
                <w:spacing w:val="-4"/>
                <w:sz w:val="12"/>
              </w:rPr>
              <w:t xml:space="preserve"> </w:t>
            </w:r>
            <w:r>
              <w:rPr>
                <w:rFonts w:ascii="Times New Roman;Times;serif" w:hAnsi="Times New Roman;Times;serif"/>
                <w:color w:val="231F20"/>
                <w:spacing w:val="-2"/>
                <w:sz w:val="12"/>
              </w:rPr>
              <w:t>94085</w:t>
              <w:br/>
            </w:r>
            <w:r>
              <w:rPr>
                <w:rFonts w:ascii="Times New Roman;Times;serif" w:hAnsi="Times New Roman;Times;serif"/>
                <w:color w:val="231F20"/>
                <w:sz w:val="12"/>
              </w:rPr>
              <w:t>United</w:t>
            </w:r>
            <w:r>
              <w:rPr>
                <w:rFonts w:ascii="Aptos" w:hAnsi="Aptos"/>
                <w:color w:val="231F20"/>
                <w:spacing w:val="-5"/>
                <w:sz w:val="12"/>
              </w:rPr>
              <w:t xml:space="preserve"> </w:t>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PRIME+4.90%,</w:t>
            </w:r>
            <w:r>
              <w:rPr>
                <w:rFonts w:ascii="Aptos" w:hAnsi="Aptos"/>
                <w:color w:val="231F20"/>
                <w:spacing w:val="-8"/>
                <w:sz w:val="12"/>
              </w:rPr>
              <w:t xml:space="preserve"> </w:t>
            </w:r>
            <w:r>
              <w:rPr>
                <w:rFonts w:ascii="Times New Roman;Times;serif" w:hAnsi="Times New Roman;Times;serif"/>
                <w:color w:val="231F20"/>
                <w:sz w:val="12"/>
              </w:rPr>
              <w:t>8.90%</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4.50%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6/15/2027</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40,000</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39,900</w:t>
            </w:r>
          </w:p>
        </w:tc>
        <w:tc>
          <w:tcPr>
            <w:tcW w:w="346" w:type="dxa"/>
            <w:tcBorders/>
            <w:vAlign w:val="center"/>
          </w:tcPr>
          <w:p>
            <w:pPr>
              <w:pStyle w:val="TableContents"/>
              <w:bidi w:val="0"/>
              <w:spacing w:lineRule="auto" w:line="328" w:before="0" w:after="160"/>
              <w:ind w:left="0" w:right="0" w:hanging="0"/>
              <w:jc w:val="left"/>
              <w:rPr/>
            </w:pPr>
            <w:r>
              <w:rPr/>
              <w:t>​</w:t>
            </w:r>
          </w:p>
        </w:tc>
        <w:tc>
          <w:tcPr>
            <w:tcW w:w="532"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40,067</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Mingle Healthcare Solutions,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8911</w:t>
            </w:r>
            <w:r>
              <w:rPr>
                <w:rFonts w:ascii="Aptos" w:hAnsi="Aptos"/>
                <w:color w:val="231F20"/>
                <w:spacing w:val="-4"/>
                <w:sz w:val="12"/>
              </w:rPr>
              <w:t xml:space="preserve"> </w:t>
            </w:r>
            <w:r>
              <w:rPr>
                <w:rFonts w:ascii="Times New Roman;Times;serif" w:hAnsi="Times New Roman;Times;serif"/>
                <w:color w:val="231F20"/>
                <w:sz w:val="12"/>
              </w:rPr>
              <w:t>South</w:t>
            </w:r>
            <w:r>
              <w:rPr>
                <w:rFonts w:ascii="Aptos" w:hAnsi="Aptos"/>
                <w:color w:val="231F20"/>
                <w:spacing w:val="-4"/>
                <w:sz w:val="12"/>
              </w:rPr>
              <w:t xml:space="preserve"> </w:t>
            </w:r>
            <w:r>
              <w:rPr>
                <w:rFonts w:ascii="Times New Roman;Times;serif" w:hAnsi="Times New Roman;Times;serif"/>
                <w:color w:val="231F20"/>
                <w:spacing w:val="-2"/>
                <w:sz w:val="12"/>
              </w:rPr>
              <w:t>Sandy</w:t>
              <w:br/>
              <w:t>Parkway</w:t>
            </w:r>
            <w:r>
              <w:rPr>
                <w:rFonts w:ascii="Aptos" w:hAnsi="Aptos"/>
                <w:color w:val="231F20"/>
                <w:spacing w:val="1"/>
                <w:sz w:val="12"/>
              </w:rPr>
              <w:t xml:space="preserve"> </w:t>
            </w:r>
            <w:r>
              <w:rPr>
                <w:rFonts w:ascii="Times New Roman;Times;serif" w:hAnsi="Times New Roman;Times;serif"/>
                <w:color w:val="231F20"/>
                <w:spacing w:val="-2"/>
                <w:sz w:val="12"/>
              </w:rPr>
              <w:t>Suite</w:t>
            </w:r>
            <w:r>
              <w:rPr>
                <w:rFonts w:ascii="Aptos" w:hAnsi="Aptos"/>
                <w:color w:val="231F20"/>
                <w:spacing w:val="1"/>
                <w:sz w:val="12"/>
              </w:rPr>
              <w:t xml:space="preserve"> </w:t>
            </w:r>
            <w:r>
              <w:rPr>
                <w:rFonts w:ascii="Times New Roman;Times;serif" w:hAnsi="Times New Roman;Times;serif"/>
                <w:color w:val="231F20"/>
                <w:spacing w:val="-2"/>
                <w:sz w:val="12"/>
              </w:rPr>
              <w:t>200</w:t>
            </w:r>
            <w:r>
              <w:rPr>
                <w:rFonts w:ascii="Aptos" w:hAnsi="Aptos"/>
                <w:color w:val="231F20"/>
                <w:spacing w:val="2"/>
                <w:sz w:val="12"/>
              </w:rPr>
              <w:t xml:space="preserve"> </w:t>
            </w:r>
            <w:r>
              <w:rPr>
                <w:rFonts w:ascii="Times New Roman;Times;serif" w:hAnsi="Times New Roman;Times;serif"/>
                <w:color w:val="231F20"/>
                <w:spacing w:val="-2"/>
                <w:sz w:val="12"/>
              </w:rPr>
              <w:t>Sandy,</w:t>
              <w:br/>
            </w:r>
            <w:r>
              <w:rPr>
                <w:rFonts w:ascii="Times New Roman;Times;serif" w:hAnsi="Times New Roman;Times;serif"/>
                <w:color w:val="231F20"/>
                <w:sz w:val="12"/>
              </w:rPr>
              <w:t>UT</w:t>
            </w:r>
            <w:r>
              <w:rPr>
                <w:rFonts w:ascii="Aptos" w:hAnsi="Aptos"/>
                <w:color w:val="231F20"/>
                <w:spacing w:val="-5"/>
                <w:sz w:val="12"/>
              </w:rPr>
              <w:t xml:space="preserve"> </w:t>
            </w:r>
            <w:r>
              <w:rPr>
                <w:rFonts w:ascii="Times New Roman;Times;serif" w:hAnsi="Times New Roman;Times;serif"/>
                <w:color w:val="231F20"/>
                <w:sz w:val="12"/>
              </w:rPr>
              <w:t>84070</w:t>
            </w:r>
            <w:r>
              <w:rPr>
                <w:rFonts w:ascii="Aptos" w:hAnsi="Aptos"/>
                <w:color w:val="231F20"/>
                <w:spacing w:val="-4"/>
                <w:sz w:val="12"/>
              </w:rPr>
              <w:t xml:space="preserve"> </w:t>
            </w:r>
            <w:r>
              <w:rPr>
                <w:rFonts w:ascii="Times New Roman;Times;serif" w:hAnsi="Times New Roman;Times;serif"/>
                <w:color w:val="231F20"/>
                <w:sz w:val="12"/>
              </w:rPr>
              <w:t>United</w:t>
            </w:r>
            <w:r>
              <w:rPr>
                <w:rFonts w:ascii="Aptos" w:hAnsi="Aptos"/>
                <w:color w:val="231F20"/>
                <w:spacing w:val="-4"/>
                <w:sz w:val="12"/>
              </w:rPr>
              <w:t xml:space="preserve"> </w:t>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SOFR+9.75%,</w:t>
            </w:r>
            <w:r>
              <w:rPr>
                <w:rFonts w:ascii="Aptos" w:hAnsi="Aptos"/>
                <w:color w:val="231F20"/>
                <w:spacing w:val="-8"/>
                <w:sz w:val="12"/>
              </w:rPr>
              <w:t xml:space="preserve"> </w:t>
            </w:r>
            <w:r>
              <w:rPr>
                <w:rFonts w:ascii="Times New Roman;Times;serif" w:hAnsi="Times New Roman;Times;serif"/>
                <w:color w:val="231F20"/>
                <w:sz w:val="12"/>
              </w:rPr>
              <w:t>12.26%</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10.50%</w:t>
            </w:r>
            <w:r>
              <w:rPr>
                <w:rFonts w:ascii="Aptos" w:hAnsi="Aptos"/>
                <w:color w:val="231F20"/>
                <w:spacing w:val="-6"/>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12/15/2026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4,322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4,952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2,609</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Nalu Medical, Inc.</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pacing w:val="-2"/>
                <w:sz w:val="12"/>
              </w:rPr>
              <w:t>2320 Faraday</w:t>
            </w:r>
            <w:r>
              <w:rPr>
                <w:rFonts w:ascii="Aptos" w:hAnsi="Aptos"/>
                <w:color w:val="231F20"/>
                <w:spacing w:val="-1"/>
                <w:sz w:val="12"/>
              </w:rPr>
              <w:t xml:space="preserve"> </w:t>
            </w:r>
            <w:r>
              <w:rPr>
                <w:rFonts w:ascii="Times New Roman;Times;serif" w:hAnsi="Times New Roman;Times;serif"/>
                <w:color w:val="231F20"/>
                <w:spacing w:val="-2"/>
                <w:sz w:val="12"/>
              </w:rPr>
              <w:t>Avenue</w:t>
              <w:br/>
            </w:r>
            <w:r>
              <w:rPr>
                <w:rFonts w:ascii="Times New Roman;Times;serif" w:hAnsi="Times New Roman;Times;serif"/>
                <w:color w:val="231F20"/>
                <w:sz w:val="12"/>
              </w:rPr>
              <w:t>Suite</w:t>
            </w:r>
            <w:r>
              <w:rPr>
                <w:rFonts w:ascii="Aptos" w:hAnsi="Aptos"/>
                <w:color w:val="231F20"/>
                <w:spacing w:val="-4"/>
                <w:sz w:val="12"/>
              </w:rPr>
              <w:t xml:space="preserve"> </w:t>
            </w:r>
            <w:r>
              <w:rPr>
                <w:rFonts w:ascii="Times New Roman;Times;serif" w:hAnsi="Times New Roman;Times;serif"/>
                <w:color w:val="231F20"/>
                <w:sz w:val="12"/>
              </w:rPr>
              <w:t>100</w:t>
            </w:r>
            <w:r>
              <w:rPr>
                <w:rFonts w:ascii="Aptos" w:hAnsi="Aptos"/>
                <w:color w:val="231F20"/>
                <w:spacing w:val="-3"/>
                <w:sz w:val="12"/>
              </w:rPr>
              <w:t xml:space="preserve"> </w:t>
            </w:r>
            <w:r>
              <w:rPr>
                <w:rFonts w:ascii="Times New Roman;Times;serif" w:hAnsi="Times New Roman;Times;serif"/>
                <w:color w:val="231F20"/>
                <w:spacing w:val="-2"/>
                <w:sz w:val="12"/>
              </w:rPr>
              <w:t>Carlsbad,</w:t>
              <w:br/>
            </w:r>
            <w:r>
              <w:rPr>
                <w:rFonts w:ascii="Times New Roman;Times;serif" w:hAnsi="Times New Roman;Times;serif"/>
                <w:color w:val="231F20"/>
                <w:sz w:val="12"/>
              </w:rPr>
              <w:t>CA</w:t>
            </w:r>
            <w:r>
              <w:rPr>
                <w:rFonts w:ascii="Aptos" w:hAnsi="Aptos"/>
                <w:color w:val="231F20"/>
                <w:spacing w:val="-5"/>
                <w:sz w:val="12"/>
              </w:rPr>
              <w:t xml:space="preserve"> </w:t>
            </w:r>
            <w:r>
              <w:rPr>
                <w:rFonts w:ascii="Times New Roman;Times;serif" w:hAnsi="Times New Roman;Times;serif"/>
                <w:color w:val="231F20"/>
                <w:sz w:val="12"/>
              </w:rPr>
              <w:t>92008</w:t>
            </w:r>
            <w:r>
              <w:rPr>
                <w:rFonts w:ascii="Aptos" w:hAnsi="Aptos"/>
                <w:color w:val="231F20"/>
                <w:spacing w:val="-4"/>
                <w:sz w:val="12"/>
              </w:rPr>
              <w:t xml:space="preserve"> </w:t>
            </w:r>
            <w:r>
              <w:rPr>
                <w:rFonts w:ascii="Times New Roman;Times;serif" w:hAnsi="Times New Roman;Times;serif"/>
                <w:color w:val="231F20"/>
                <w:sz w:val="12"/>
              </w:rPr>
              <w:t>United</w:t>
            </w:r>
            <w:r>
              <w:rPr>
                <w:rFonts w:ascii="Aptos" w:hAnsi="Aptos"/>
                <w:color w:val="231F20"/>
                <w:spacing w:val="-4"/>
                <w:sz w:val="12"/>
              </w:rPr>
              <w:t xml:space="preserve"> </w:t>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PRIME+2.70%,</w:t>
            </w:r>
            <w:r>
              <w:rPr>
                <w:rFonts w:ascii="Aptos" w:hAnsi="Aptos"/>
                <w:color w:val="231F20"/>
                <w:spacing w:val="-8"/>
                <w:sz w:val="12"/>
              </w:rPr>
              <w:t xml:space="preserve"> </w:t>
            </w:r>
            <w:r>
              <w:rPr>
                <w:rFonts w:ascii="Times New Roman;Times;serif" w:hAnsi="Times New Roman;Times;serif"/>
                <w:color w:val="231F20"/>
                <w:sz w:val="12"/>
              </w:rPr>
              <w:t>6.70%</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2.00%</w:t>
            </w:r>
            <w:r>
              <w:rPr>
                <w:rFonts w:ascii="Aptos" w:hAnsi="Aptos"/>
                <w:color w:val="231F20"/>
                <w:spacing w:val="-5"/>
                <w:sz w:val="12"/>
              </w:rPr>
              <w:t xml:space="preserve"> </w:t>
            </w:r>
            <w:r>
              <w:rPr>
                <w:rFonts w:ascii="Times New Roman;Times;serif" w:hAnsi="Times New Roman;Times;serif"/>
                <w:color w:val="231F20"/>
                <w:sz w:val="12"/>
              </w:rPr>
              <w:t>PIK,</w:t>
            </w:r>
            <w:r>
              <w:rPr>
                <w:rFonts w:ascii="Aptos" w:hAnsi="Aptos"/>
                <w:color w:val="231F20"/>
                <w:spacing w:val="-4"/>
                <w:sz w:val="12"/>
              </w:rPr>
              <w:t xml:space="preserve"> </w:t>
            </w:r>
            <w:r>
              <w:rPr>
                <w:rFonts w:ascii="Times New Roman;Times;serif" w:hAnsi="Times New Roman;Times;serif"/>
                <w:color w:val="231F20"/>
                <w:sz w:val="12"/>
              </w:rPr>
              <w:t>4.50%</w:t>
            </w:r>
            <w:r>
              <w:rPr>
                <w:rFonts w:ascii="Aptos" w:hAnsi="Aptos"/>
                <w:color w:val="231F20"/>
                <w:spacing w:val="-4"/>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10/12/2027</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20,797</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20,884</w:t>
            </w:r>
          </w:p>
        </w:tc>
        <w:tc>
          <w:tcPr>
            <w:tcW w:w="346" w:type="dxa"/>
            <w:tcBorders/>
            <w:vAlign w:val="center"/>
          </w:tcPr>
          <w:p>
            <w:pPr>
              <w:pStyle w:val="TableContents"/>
              <w:bidi w:val="0"/>
              <w:spacing w:lineRule="auto" w:line="328" w:before="0" w:after="160"/>
              <w:ind w:left="0" w:right="0" w:hanging="0"/>
              <w:jc w:val="left"/>
              <w:rPr/>
            </w:pPr>
            <w:r>
              <w:rPr/>
              <w:t>​</w:t>
            </w:r>
          </w:p>
        </w:tc>
        <w:tc>
          <w:tcPr>
            <w:tcW w:w="532"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21,355</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Onward Medical, N.V.</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Schimmelt</w:t>
            </w:r>
            <w:r>
              <w:rPr>
                <w:rFonts w:ascii="Aptos" w:hAnsi="Aptos"/>
                <w:color w:val="231F20"/>
                <w:spacing w:val="-5"/>
                <w:sz w:val="12"/>
              </w:rPr>
              <w:t xml:space="preserve"> </w:t>
            </w:r>
            <w:r>
              <w:rPr>
                <w:rFonts w:ascii="Times New Roman;Times;serif" w:hAnsi="Times New Roman;Times;serif"/>
                <w:color w:val="231F20"/>
                <w:sz w:val="12"/>
              </w:rPr>
              <w:t>2</w:t>
            </w:r>
            <w:r>
              <w:rPr>
                <w:rFonts w:ascii="Aptos" w:hAnsi="Aptos"/>
                <w:color w:val="231F20"/>
                <w:spacing w:val="-5"/>
                <w:sz w:val="12"/>
              </w:rPr>
              <w:t xml:space="preserve"> </w:t>
            </w:r>
            <w:r>
              <w:rPr>
                <w:rFonts w:ascii="Times New Roman;Times;serif" w:hAnsi="Times New Roman;Times;serif"/>
                <w:color w:val="231F20"/>
                <w:sz w:val="12"/>
              </w:rPr>
              <w:t>5611</w:t>
            </w:r>
            <w:r>
              <w:rPr>
                <w:rFonts w:ascii="Aptos" w:hAnsi="Aptos"/>
                <w:color w:val="231F20"/>
                <w:spacing w:val="-5"/>
                <w:sz w:val="12"/>
              </w:rPr>
              <w:t xml:space="preserve"> </w:t>
            </w:r>
            <w:r>
              <w:rPr>
                <w:rFonts w:ascii="Times New Roman;Times;serif" w:hAnsi="Times New Roman;Times;serif"/>
                <w:color w:val="231F20"/>
                <w:spacing w:val="-5"/>
                <w:sz w:val="12"/>
              </w:rPr>
              <w:t>ZX</w:t>
              <w:br/>
            </w:r>
            <w:r>
              <w:rPr>
                <w:rFonts w:ascii="Times New Roman;Times;serif" w:hAnsi="Times New Roman;Times;serif"/>
                <w:color w:val="231F20"/>
                <w:spacing w:val="-2"/>
                <w:sz w:val="12"/>
              </w:rPr>
              <w:t>Eindhoven</w:t>
            </w:r>
            <w:r>
              <w:rPr>
                <w:rFonts w:ascii="Aptos" w:hAnsi="Aptos"/>
                <w:color w:val="231F20"/>
                <w:spacing w:val="3"/>
                <w:sz w:val="12"/>
              </w:rPr>
              <w:t xml:space="preserve"> </w:t>
            </w:r>
            <w:r>
              <w:rPr>
                <w:rFonts w:ascii="Times New Roman;Times;serif" w:hAnsi="Times New Roman;Times;serif"/>
                <w:color w:val="231F20"/>
                <w:spacing w:val="-2"/>
                <w:sz w:val="12"/>
              </w:rPr>
              <w:t>Netherlands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SOFR+6.50%,</w:t>
            </w:r>
            <w:r>
              <w:rPr>
                <w:rFonts w:ascii="Aptos" w:hAnsi="Aptos"/>
                <w:color w:val="231F20"/>
                <w:spacing w:val="-8"/>
                <w:sz w:val="12"/>
              </w:rPr>
              <w:t xml:space="preserve"> </w:t>
            </w:r>
            <w:r>
              <w:rPr>
                <w:rFonts w:ascii="Times New Roman;Times;serif" w:hAnsi="Times New Roman;Times;serif"/>
                <w:color w:val="231F20"/>
                <w:sz w:val="12"/>
              </w:rPr>
              <w:t>10.75%</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2.50%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6/15/2028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17,088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16,630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16,630</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Route 92 Medical, Inc.</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pacing w:val="-2"/>
                <w:sz w:val="12"/>
              </w:rPr>
              <w:t>155</w:t>
            </w:r>
            <w:r>
              <w:rPr>
                <w:rFonts w:ascii="Aptos" w:hAnsi="Aptos"/>
                <w:color w:val="231F20"/>
                <w:spacing w:val="-1"/>
                <w:sz w:val="12"/>
              </w:rPr>
              <w:t xml:space="preserve"> </w:t>
            </w:r>
            <w:r>
              <w:rPr>
                <w:rFonts w:ascii="Times New Roman;Times;serif" w:hAnsi="Times New Roman;Times;serif"/>
                <w:color w:val="231F20"/>
                <w:spacing w:val="-2"/>
                <w:sz w:val="12"/>
              </w:rPr>
              <w:t>Bovet</w:t>
            </w:r>
            <w:r>
              <w:rPr>
                <w:rFonts w:ascii="Aptos" w:hAnsi="Aptos"/>
                <w:color w:val="231F20"/>
                <w:sz w:val="12"/>
              </w:rPr>
              <w:t xml:space="preserve"> </w:t>
            </w:r>
            <w:r>
              <w:rPr>
                <w:rFonts w:ascii="Times New Roman;Times;serif" w:hAnsi="Times New Roman;Times;serif"/>
                <w:color w:val="231F20"/>
                <w:spacing w:val="-2"/>
                <w:sz w:val="12"/>
              </w:rPr>
              <w:t>Road</w:t>
            </w:r>
            <w:r>
              <w:rPr>
                <w:rFonts w:ascii="Aptos" w:hAnsi="Aptos"/>
                <w:color w:val="231F20"/>
                <w:sz w:val="12"/>
              </w:rPr>
              <w:t xml:space="preserve"> </w:t>
            </w:r>
            <w:r>
              <w:rPr>
                <w:rFonts w:ascii="Times New Roman;Times;serif" w:hAnsi="Times New Roman;Times;serif"/>
                <w:color w:val="231F20"/>
                <w:spacing w:val="-2"/>
                <w:sz w:val="12"/>
              </w:rPr>
              <w:t>Suite</w:t>
            </w:r>
            <w:r>
              <w:rPr>
                <w:rFonts w:ascii="Aptos" w:hAnsi="Aptos"/>
                <w:color w:val="231F20"/>
                <w:sz w:val="12"/>
              </w:rPr>
              <w:t xml:space="preserve"> </w:t>
            </w:r>
            <w:r>
              <w:rPr>
                <w:rFonts w:ascii="Times New Roman;Times;serif" w:hAnsi="Times New Roman;Times;serif"/>
                <w:color w:val="231F20"/>
                <w:spacing w:val="-5"/>
                <w:sz w:val="12"/>
              </w:rPr>
              <w:t>100</w:t>
              <w:br/>
            </w:r>
            <w:r>
              <w:rPr>
                <w:rFonts w:ascii="Times New Roman;Times;serif" w:hAnsi="Times New Roman;Times;serif"/>
                <w:color w:val="231F20"/>
                <w:sz w:val="12"/>
              </w:rPr>
              <w:t>San</w:t>
            </w:r>
            <w:r>
              <w:rPr>
                <w:rFonts w:ascii="Aptos" w:hAnsi="Aptos"/>
                <w:color w:val="231F20"/>
                <w:spacing w:val="-7"/>
                <w:sz w:val="12"/>
              </w:rPr>
              <w:t xml:space="preserve"> </w:t>
            </w:r>
            <w:r>
              <w:rPr>
                <w:rFonts w:ascii="Times New Roman;Times;serif" w:hAnsi="Times New Roman;Times;serif"/>
                <w:color w:val="231F20"/>
                <w:sz w:val="12"/>
              </w:rPr>
              <w:t>Mateo,</w:t>
            </w:r>
            <w:r>
              <w:rPr>
                <w:rFonts w:ascii="Aptos" w:hAnsi="Aptos"/>
                <w:color w:val="231F20"/>
                <w:spacing w:val="-7"/>
                <w:sz w:val="12"/>
              </w:rPr>
              <w:t xml:space="preserve"> </w:t>
            </w:r>
            <w:r>
              <w:rPr>
                <w:rFonts w:ascii="Times New Roman;Times;serif" w:hAnsi="Times New Roman;Times;serif"/>
                <w:color w:val="231F20"/>
                <w:sz w:val="12"/>
              </w:rPr>
              <w:t>CA</w:t>
            </w:r>
            <w:r>
              <w:rPr>
                <w:rFonts w:ascii="Aptos" w:hAnsi="Aptos"/>
                <w:color w:val="231F20"/>
                <w:spacing w:val="-7"/>
                <w:sz w:val="12"/>
              </w:rPr>
              <w:t xml:space="preserve"> </w:t>
            </w:r>
            <w:r>
              <w:rPr>
                <w:rFonts w:ascii="Times New Roman;Times;serif" w:hAnsi="Times New Roman;Times;serif"/>
                <w:color w:val="231F20"/>
                <w:spacing w:val="-2"/>
                <w:sz w:val="12"/>
              </w:rPr>
              <w:t>94402</w:t>
              <w:br/>
            </w:r>
            <w:r>
              <w:rPr>
                <w:rFonts w:ascii="Times New Roman;Times;serif" w:hAnsi="Times New Roman;Times;serif"/>
                <w:color w:val="231F20"/>
                <w:sz w:val="12"/>
              </w:rPr>
              <w:t>United</w:t>
            </w:r>
            <w:r>
              <w:rPr>
                <w:rFonts w:ascii="Aptos" w:hAnsi="Aptos"/>
                <w:color w:val="231F20"/>
                <w:spacing w:val="-5"/>
                <w:sz w:val="12"/>
              </w:rPr>
              <w:t xml:space="preserve"> </w:t>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SOFR+8.48%,</w:t>
            </w:r>
            <w:r>
              <w:rPr>
                <w:rFonts w:ascii="Aptos" w:hAnsi="Aptos"/>
                <w:color w:val="231F20"/>
                <w:spacing w:val="-7"/>
                <w:sz w:val="12"/>
              </w:rPr>
              <w:t xml:space="preserve"> </w:t>
            </w:r>
            <w:r>
              <w:rPr>
                <w:rFonts w:ascii="Times New Roman;Times;serif" w:hAnsi="Times New Roman;Times;serif"/>
                <w:color w:val="231F20"/>
                <w:sz w:val="12"/>
              </w:rPr>
              <w:t>8.98%</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3.95%</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7/1/2026</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35,000</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34,787</w:t>
            </w:r>
          </w:p>
        </w:tc>
        <w:tc>
          <w:tcPr>
            <w:tcW w:w="346" w:type="dxa"/>
            <w:tcBorders/>
            <w:vAlign w:val="center"/>
          </w:tcPr>
          <w:p>
            <w:pPr>
              <w:pStyle w:val="TableContents"/>
              <w:bidi w:val="0"/>
              <w:spacing w:lineRule="auto" w:line="328" w:before="0" w:after="160"/>
              <w:ind w:left="0" w:right="0" w:hanging="0"/>
              <w:jc w:val="left"/>
              <w:rPr/>
            </w:pPr>
            <w:r>
              <w:rPr/>
              <w:t>​</w:t>
            </w:r>
          </w:p>
        </w:tc>
        <w:tc>
          <w:tcPr>
            <w:tcW w:w="532"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35,664</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SetPoint Medical Corporation</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pacing w:val="-2"/>
                <w:sz w:val="12"/>
              </w:rPr>
              <w:t>25101</w:t>
            </w:r>
            <w:r>
              <w:rPr>
                <w:rFonts w:ascii="Aptos" w:hAnsi="Aptos"/>
                <w:color w:val="231F20"/>
                <w:spacing w:val="-4"/>
                <w:sz w:val="12"/>
              </w:rPr>
              <w:t xml:space="preserve"> </w:t>
            </w:r>
            <w:r>
              <w:rPr>
                <w:rFonts w:ascii="Times New Roman;Times;serif" w:hAnsi="Times New Roman;Times;serif"/>
                <w:color w:val="231F20"/>
                <w:spacing w:val="-2"/>
                <w:sz w:val="12"/>
              </w:rPr>
              <w:t>Rye</w:t>
            </w:r>
            <w:r>
              <w:rPr>
                <w:rFonts w:ascii="Aptos" w:hAnsi="Aptos"/>
                <w:color w:val="231F20"/>
                <w:spacing w:val="-3"/>
                <w:sz w:val="12"/>
              </w:rPr>
              <w:t xml:space="preserve"> </w:t>
            </w:r>
            <w:r>
              <w:rPr>
                <w:rFonts w:ascii="Times New Roman;Times;serif" w:hAnsi="Times New Roman;Times;serif"/>
                <w:color w:val="231F20"/>
                <w:spacing w:val="-2"/>
                <w:sz w:val="12"/>
              </w:rPr>
              <w:t>Canyon</w:t>
            </w:r>
            <w:r>
              <w:rPr>
                <w:rFonts w:ascii="Aptos" w:hAnsi="Aptos"/>
                <w:color w:val="231F20"/>
                <w:spacing w:val="-3"/>
                <w:sz w:val="12"/>
              </w:rPr>
              <w:t xml:space="preserve"> </w:t>
            </w:r>
            <w:r>
              <w:rPr>
                <w:rFonts w:ascii="Times New Roman;Times;serif" w:hAnsi="Times New Roman;Times;serif"/>
                <w:color w:val="231F20"/>
                <w:spacing w:val="-4"/>
                <w:sz w:val="12"/>
              </w:rPr>
              <w:t>Loop</w:t>
              <w:br/>
            </w:r>
            <w:r>
              <w:rPr>
                <w:rFonts w:ascii="Times New Roman;Times;serif" w:hAnsi="Times New Roman;Times;serif"/>
                <w:color w:val="231F20"/>
                <w:spacing w:val="-2"/>
                <w:sz w:val="12"/>
              </w:rPr>
              <w:t>Valencia, CA 91355</w:t>
              <w:br/>
            </w:r>
            <w:r>
              <w:rPr>
                <w:rFonts w:ascii="Times New Roman;Times;serif" w:hAnsi="Times New Roman;Times;serif"/>
                <w:color w:val="231F20"/>
                <w:sz w:val="12"/>
              </w:rPr>
              <w:t>United</w:t>
            </w:r>
            <w:r>
              <w:rPr>
                <w:rFonts w:ascii="Aptos" w:hAnsi="Aptos"/>
                <w:color w:val="231F20"/>
                <w:spacing w:val="-5"/>
                <w:sz w:val="12"/>
              </w:rPr>
              <w:t xml:space="preserve"> </w:t>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SOFR+5.75%,</w:t>
            </w:r>
            <w:r>
              <w:rPr>
                <w:rFonts w:ascii="Aptos" w:hAnsi="Aptos"/>
                <w:color w:val="231F20"/>
                <w:spacing w:val="-7"/>
                <w:sz w:val="12"/>
              </w:rPr>
              <w:t xml:space="preserve"> </w:t>
            </w:r>
            <w:r>
              <w:rPr>
                <w:rFonts w:ascii="Times New Roman;Times;serif" w:hAnsi="Times New Roman;Times;serif"/>
                <w:color w:val="231F20"/>
                <w:sz w:val="12"/>
              </w:rPr>
              <w:t>9.00%</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4.00%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12/1/2027</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25,000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25,180</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25,760</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Healthcare Technology – 28.00%*</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142,333</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142,085</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Human Resource &amp; Employment Services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Snagajob.com, Inc.</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50</w:t>
            </w:r>
            <w:r>
              <w:rPr>
                <w:rFonts w:ascii="Aptos" w:hAnsi="Aptos"/>
                <w:color w:val="231F20"/>
                <w:spacing w:val="-5"/>
                <w:sz w:val="12"/>
              </w:rPr>
              <w:t xml:space="preserve"> </w:t>
            </w:r>
            <w:r>
              <w:rPr>
                <w:rFonts w:ascii="Times New Roman;Times;serif" w:hAnsi="Times New Roman;Times;serif"/>
                <w:color w:val="231F20"/>
                <w:sz w:val="12"/>
              </w:rPr>
              <w:t>Milk</w:t>
            </w:r>
            <w:r>
              <w:rPr>
                <w:rFonts w:ascii="Aptos" w:hAnsi="Aptos"/>
                <w:color w:val="231F20"/>
                <w:spacing w:val="-4"/>
                <w:sz w:val="12"/>
              </w:rPr>
              <w:t xml:space="preserve"> </w:t>
            </w:r>
            <w:r>
              <w:rPr>
                <w:rFonts w:ascii="Times New Roman;Times;serif" w:hAnsi="Times New Roman;Times;serif"/>
                <w:color w:val="231F20"/>
                <w:sz w:val="12"/>
              </w:rPr>
              <w:t>Street</w:t>
            </w:r>
            <w:r>
              <w:rPr>
                <w:rFonts w:ascii="Aptos" w:hAnsi="Aptos"/>
                <w:color w:val="231F20"/>
                <w:spacing w:val="-4"/>
                <w:sz w:val="12"/>
              </w:rPr>
              <w:t xml:space="preserve"> </w:t>
            </w:r>
            <w:r>
              <w:rPr>
                <w:rFonts w:ascii="Times New Roman;Times;serif" w:hAnsi="Times New Roman;Times;serif"/>
                <w:color w:val="231F20"/>
                <w:spacing w:val="-2"/>
                <w:sz w:val="12"/>
              </w:rPr>
              <w:t>Boston,</w:t>
              <w:br/>
            </w:r>
            <w:r>
              <w:rPr>
                <w:rFonts w:ascii="Times New Roman;Times;serif" w:hAnsi="Times New Roman;Times;serif"/>
                <w:color w:val="231F20"/>
                <w:sz w:val="12"/>
              </w:rPr>
              <w:t>MA</w:t>
            </w:r>
            <w:r>
              <w:rPr>
                <w:rFonts w:ascii="Aptos" w:hAnsi="Aptos"/>
                <w:color w:val="231F20"/>
                <w:spacing w:val="-5"/>
                <w:sz w:val="12"/>
              </w:rPr>
              <w:t xml:space="preserve"> </w:t>
            </w:r>
            <w:r>
              <w:rPr>
                <w:rFonts w:ascii="Times New Roman;Times;serif" w:hAnsi="Times New Roman;Times;serif"/>
                <w:color w:val="231F20"/>
                <w:sz w:val="12"/>
              </w:rPr>
              <w:t>02109</w:t>
            </w:r>
            <w:r>
              <w:rPr>
                <w:rFonts w:ascii="Aptos" w:hAnsi="Aptos"/>
                <w:color w:val="231F20"/>
                <w:spacing w:val="-4"/>
                <w:sz w:val="12"/>
              </w:rPr>
              <w:t xml:space="preserve"> </w:t>
            </w:r>
            <w:r>
              <w:rPr>
                <w:rFonts w:ascii="Times New Roman;Times;serif" w:hAnsi="Times New Roman;Times;serif"/>
                <w:color w:val="231F20"/>
                <w:sz w:val="12"/>
              </w:rPr>
              <w:t>United</w:t>
            </w:r>
            <w:r>
              <w:rPr>
                <w:rFonts w:ascii="Aptos" w:hAnsi="Aptos"/>
                <w:color w:val="231F20"/>
                <w:spacing w:val="-4"/>
                <w:sz w:val="12"/>
              </w:rPr>
              <w:t xml:space="preserve"> </w:t>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SOFR+8.50%</w:t>
            </w:r>
            <w:r>
              <w:rPr>
                <w:rFonts w:ascii="Aptos" w:hAnsi="Aptos"/>
                <w:color w:val="231F20"/>
                <w:spacing w:val="-7"/>
                <w:sz w:val="12"/>
              </w:rPr>
              <w:t xml:space="preserve"> </w:t>
            </w:r>
            <w:r>
              <w:rPr>
                <w:rFonts w:ascii="Times New Roman;Times;serif" w:hAnsi="Times New Roman;Times;serif"/>
                <w:color w:val="231F20"/>
                <w:sz w:val="12"/>
              </w:rPr>
              <w:t>PIK,</w:t>
            </w:r>
            <w:r>
              <w:rPr>
                <w:rFonts w:ascii="Aptos" w:hAnsi="Aptos"/>
                <w:color w:val="231F20"/>
                <w:spacing w:val="-6"/>
                <w:sz w:val="12"/>
              </w:rPr>
              <w:t xml:space="preserve"> </w:t>
            </w:r>
            <w:r>
              <w:rPr>
                <w:rFonts w:ascii="Times New Roman;Times;serif" w:hAnsi="Times New Roman;Times;serif"/>
                <w:color w:val="231F20"/>
                <w:spacing w:val="-4"/>
                <w:sz w:val="12"/>
              </w:rPr>
              <w:t>9.00%</w:t>
              <w:br/>
            </w:r>
            <w:r>
              <w:rPr>
                <w:rFonts w:ascii="Times New Roman;Times;serif" w:hAnsi="Times New Roman;Times;serif"/>
                <w:color w:val="231F20"/>
                <w:spacing w:val="-2"/>
                <w:sz w:val="12"/>
              </w:rPr>
              <w:t>floor, 2.75%</w:t>
            </w:r>
            <w:r>
              <w:rPr>
                <w:rFonts w:ascii="Aptos" w:hAnsi="Aptos"/>
                <w:color w:val="231F20"/>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9/1/2025</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42,297</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42,739</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37,325</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Human Resource &amp; Employment Services – 7.36%*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42,739</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37,325</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Internet &amp; Direct Marketing Retail</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Madison Reed,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430</w:t>
            </w:r>
            <w:r>
              <w:rPr>
                <w:rFonts w:ascii="Aptos" w:hAnsi="Aptos"/>
                <w:color w:val="231F20"/>
                <w:spacing w:val="-7"/>
                <w:sz w:val="12"/>
              </w:rPr>
              <w:t xml:space="preserve"> </w:t>
            </w:r>
            <w:r>
              <w:rPr>
                <w:rFonts w:ascii="Times New Roman;Times;serif" w:hAnsi="Times New Roman;Times;serif"/>
                <w:color w:val="231F20"/>
                <w:sz w:val="12"/>
              </w:rPr>
              <w:t>Shotwell</w:t>
            </w:r>
            <w:r>
              <w:rPr>
                <w:rFonts w:ascii="Aptos" w:hAnsi="Aptos"/>
                <w:color w:val="231F20"/>
                <w:spacing w:val="-6"/>
                <w:sz w:val="12"/>
              </w:rPr>
              <w:t xml:space="preserve"> </w:t>
            </w:r>
            <w:r>
              <w:rPr>
                <w:rFonts w:ascii="Times New Roman;Times;serif" w:hAnsi="Times New Roman;Times;serif"/>
                <w:color w:val="231F20"/>
                <w:sz w:val="12"/>
              </w:rPr>
              <w:t>Street</w:t>
            </w:r>
            <w:r>
              <w:rPr>
                <w:rFonts w:ascii="Aptos" w:hAnsi="Aptos"/>
                <w:color w:val="231F20"/>
                <w:spacing w:val="-6"/>
                <w:sz w:val="12"/>
              </w:rPr>
              <w:t xml:space="preserve"> </w:t>
            </w:r>
            <w:r>
              <w:rPr>
                <w:rFonts w:ascii="Times New Roman;Times;serif" w:hAnsi="Times New Roman;Times;serif"/>
                <w:color w:val="231F20"/>
                <w:spacing w:val="-5"/>
                <w:sz w:val="12"/>
              </w:rPr>
              <w:t>San</w:t>
              <w:br/>
            </w:r>
            <w:r>
              <w:rPr>
                <w:rFonts w:ascii="Times New Roman;Times;serif" w:hAnsi="Times New Roman;Times;serif"/>
                <w:color w:val="231F20"/>
                <w:spacing w:val="-2"/>
                <w:sz w:val="12"/>
              </w:rPr>
              <w:t>Francisco,</w:t>
            </w:r>
            <w:r>
              <w:rPr>
                <w:rFonts w:ascii="Aptos" w:hAnsi="Aptos"/>
                <w:color w:val="231F20"/>
                <w:spacing w:val="1"/>
                <w:sz w:val="12"/>
              </w:rPr>
              <w:t xml:space="preserve"> </w:t>
            </w:r>
            <w:r>
              <w:rPr>
                <w:rFonts w:ascii="Times New Roman;Times;serif" w:hAnsi="Times New Roman;Times;serif"/>
                <w:color w:val="231F20"/>
                <w:spacing w:val="-2"/>
                <w:sz w:val="12"/>
              </w:rPr>
              <w:t>CA</w:t>
            </w:r>
            <w:r>
              <w:rPr>
                <w:rFonts w:ascii="Aptos" w:hAnsi="Aptos"/>
                <w:color w:val="231F20"/>
                <w:spacing w:val="2"/>
                <w:sz w:val="12"/>
              </w:rPr>
              <w:t xml:space="preserve"> </w:t>
            </w:r>
            <w:r>
              <w:rPr>
                <w:rFonts w:ascii="Times New Roman;Times;serif" w:hAnsi="Times New Roman;Times;serif"/>
                <w:color w:val="231F20"/>
                <w:spacing w:val="-2"/>
                <w:sz w:val="12"/>
              </w:rPr>
              <w:t>94110</w:t>
              <w:br/>
            </w:r>
            <w:r>
              <w:rPr>
                <w:rFonts w:ascii="Times New Roman;Times;serif" w:hAnsi="Times New Roman;Times;serif"/>
                <w:color w:val="231F20"/>
                <w:sz w:val="12"/>
              </w:rPr>
              <w:t>United</w:t>
            </w:r>
            <w:r>
              <w:rPr>
                <w:rFonts w:ascii="Aptos" w:hAnsi="Aptos"/>
                <w:color w:val="231F20"/>
                <w:spacing w:val="-5"/>
                <w:sz w:val="12"/>
              </w:rPr>
              <w:t xml:space="preserve"> </w:t>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PRIME+4.75%,</w:t>
            </w:r>
            <w:r>
              <w:rPr>
                <w:rFonts w:ascii="Aptos" w:hAnsi="Aptos"/>
                <w:color w:val="231F20"/>
                <w:spacing w:val="-8"/>
                <w:sz w:val="12"/>
              </w:rPr>
              <w:t xml:space="preserve"> </w:t>
            </w:r>
            <w:r>
              <w:rPr>
                <w:rFonts w:ascii="Times New Roman;Times;serif" w:hAnsi="Times New Roman;Times;serif"/>
                <w:color w:val="231F20"/>
                <w:sz w:val="12"/>
              </w:rPr>
              <w:t>11.00%</w:t>
            </w:r>
            <w:r>
              <w:rPr>
                <w:rFonts w:ascii="Aptos" w:hAnsi="Aptos"/>
                <w:color w:val="231F20"/>
                <w:spacing w:val="-8"/>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11.00%</w:t>
            </w:r>
            <w:r>
              <w:rPr>
                <w:rFonts w:ascii="Aptos" w:hAnsi="Aptos"/>
                <w:color w:val="231F20"/>
                <w:spacing w:val="-7"/>
                <w:sz w:val="12"/>
              </w:rPr>
              <w:t xml:space="preserve"> </w:t>
            </w:r>
            <w:r>
              <w:rPr>
                <w:rFonts w:ascii="Times New Roman;Times;serif" w:hAnsi="Times New Roman;Times;serif"/>
                <w:color w:val="231F20"/>
                <w:sz w:val="12"/>
              </w:rPr>
              <w:t>cash</w:t>
            </w:r>
            <w:r>
              <w:rPr>
                <w:rFonts w:ascii="Aptos" w:hAnsi="Aptos"/>
                <w:color w:val="231F20"/>
                <w:spacing w:val="-6"/>
                <w:sz w:val="12"/>
              </w:rPr>
              <w:t xml:space="preserve"> </w:t>
            </w:r>
            <w:r>
              <w:rPr>
                <w:rFonts w:ascii="Times New Roman;Times;serif" w:hAnsi="Times New Roman;Times;serif"/>
                <w:color w:val="231F20"/>
                <w:sz w:val="12"/>
              </w:rPr>
              <w:t>cap,</w:t>
            </w:r>
            <w:r>
              <w:rPr>
                <w:rFonts w:ascii="Aptos" w:hAnsi="Aptos"/>
                <w:color w:val="231F20"/>
                <w:spacing w:val="-6"/>
                <w:sz w:val="12"/>
              </w:rPr>
              <w:t xml:space="preserve"> </w:t>
            </w:r>
            <w:r>
              <w:rPr>
                <w:rFonts w:ascii="Times New Roman;Times;serif" w:hAnsi="Times New Roman;Times;serif"/>
                <w:color w:val="231F20"/>
                <w:sz w:val="12"/>
              </w:rPr>
              <w:t>3.00%</w:t>
            </w:r>
            <w:r>
              <w:rPr>
                <w:rFonts w:ascii="Aptos" w:hAnsi="Aptos"/>
                <w:color w:val="231F20"/>
                <w:spacing w:val="-6"/>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12/16/2026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16,159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16,089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16,210</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Marley Spoon SE</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Paul-Lincke-Ufer 39-40</w:t>
              <w:br/>
              <w:t>10999 Berlin, Germany</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SOFR+7.50%,</w:t>
            </w:r>
            <w:r>
              <w:rPr>
                <w:rFonts w:ascii="Aptos" w:hAnsi="Aptos"/>
                <w:color w:val="231F20"/>
                <w:spacing w:val="-7"/>
                <w:sz w:val="12"/>
              </w:rPr>
              <w:t xml:space="preserve"> </w:t>
            </w:r>
            <w:r>
              <w:rPr>
                <w:rFonts w:ascii="Times New Roman;Times;serif" w:hAnsi="Times New Roman;Times;serif"/>
                <w:color w:val="231F20"/>
                <w:sz w:val="12"/>
              </w:rPr>
              <w:t>8.26%</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1.25%</w:t>
            </w:r>
            <w:r>
              <w:rPr>
                <w:rFonts w:ascii="Aptos" w:hAnsi="Aptos"/>
                <w:color w:val="231F20"/>
                <w:spacing w:val="-5"/>
                <w:sz w:val="12"/>
              </w:rPr>
              <w:t xml:space="preserve"> </w:t>
            </w:r>
            <w:r>
              <w:rPr>
                <w:rFonts w:ascii="Times New Roman;Times;serif" w:hAnsi="Times New Roman;Times;serif"/>
                <w:color w:val="231F20"/>
                <w:sz w:val="12"/>
              </w:rPr>
              <w:t>PIK,</w:t>
            </w:r>
            <w:r>
              <w:rPr>
                <w:rFonts w:ascii="Aptos" w:hAnsi="Aptos"/>
                <w:color w:val="231F20"/>
                <w:spacing w:val="-4"/>
                <w:sz w:val="12"/>
              </w:rPr>
              <w:t xml:space="preserve"> </w:t>
            </w:r>
            <w:r>
              <w:rPr>
                <w:rFonts w:ascii="Times New Roman;Times;serif" w:hAnsi="Times New Roman;Times;serif"/>
                <w:color w:val="231F20"/>
                <w:sz w:val="12"/>
              </w:rPr>
              <w:t>1.00%</w:t>
            </w:r>
            <w:r>
              <w:rPr>
                <w:rFonts w:ascii="Aptos" w:hAnsi="Aptos"/>
                <w:color w:val="231F20"/>
                <w:spacing w:val="-4"/>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6/15/2027</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38,295</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38,258</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36,753</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Internet &amp; Direct Marketing Retail – 10.44%*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54,347</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52,963</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Internet Software and Services</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Bombora,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102 Madison Avenue</w:t>
              <w:br/>
              <w:t>Floor 5 New York,</w:t>
              <w:br/>
              <w:t>NY 10016 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SOFR+4.75%,</w:t>
            </w:r>
            <w:r>
              <w:rPr>
                <w:rFonts w:ascii="Aptos" w:hAnsi="Aptos"/>
                <w:color w:val="231F20"/>
                <w:spacing w:val="-7"/>
                <w:sz w:val="12"/>
              </w:rPr>
              <w:t xml:space="preserve"> </w:t>
            </w:r>
            <w:r>
              <w:rPr>
                <w:rFonts w:ascii="Times New Roman;Times;serif" w:hAnsi="Times New Roman;Times;serif"/>
                <w:color w:val="231F20"/>
                <w:sz w:val="12"/>
              </w:rPr>
              <w:t>6.75%</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3.25%</w:t>
            </w:r>
            <w:r>
              <w:rPr>
                <w:rFonts w:ascii="Aptos" w:hAnsi="Aptos"/>
                <w:color w:val="231F20"/>
                <w:spacing w:val="-5"/>
                <w:sz w:val="12"/>
              </w:rPr>
              <w:t xml:space="preserve"> </w:t>
            </w:r>
            <w:r>
              <w:rPr>
                <w:rFonts w:ascii="Times New Roman;Times;serif" w:hAnsi="Times New Roman;Times;serif"/>
                <w:color w:val="231F20"/>
                <w:sz w:val="12"/>
              </w:rPr>
              <w:t>PIK,</w:t>
            </w:r>
            <w:r>
              <w:rPr>
                <w:rFonts w:ascii="Aptos" w:hAnsi="Aptos"/>
                <w:color w:val="231F20"/>
                <w:spacing w:val="-4"/>
                <w:sz w:val="12"/>
              </w:rPr>
              <w:t xml:space="preserve"> </w:t>
            </w:r>
            <w:r>
              <w:rPr>
                <w:rFonts w:ascii="Times New Roman;Times;serif" w:hAnsi="Times New Roman;Times;serif"/>
                <w:color w:val="231F20"/>
                <w:sz w:val="12"/>
              </w:rPr>
              <w:t>0.96%</w:t>
            </w:r>
            <w:r>
              <w:rPr>
                <w:rFonts w:ascii="Aptos" w:hAnsi="Aptos"/>
                <w:color w:val="231F20"/>
                <w:spacing w:val="-4"/>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1/15/2028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28,674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28,620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28,413</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CarNow, Inc.</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285" w:before="0" w:after="60"/>
              <w:ind w:left="0" w:right="0" w:hanging="0"/>
              <w:jc w:val="left"/>
              <w:rPr>
                <w:rFonts w:ascii="Times New Roman;Times;serif" w:hAnsi="Times New Roman;Times;serif"/>
                <w:color w:val="231F20"/>
                <w:sz w:val="12"/>
              </w:rPr>
            </w:pPr>
            <w:r>
              <w:rPr>
                <w:rFonts w:ascii="Times New Roman;Times;serif" w:hAnsi="Times New Roman;Times;serif"/>
                <w:color w:val="231F20"/>
                <w:sz w:val="12"/>
              </w:rPr>
              <w:t>1100 Circle 75 Parkway</w:t>
              <w:br/>
              <w:t>Suite 800 Atlanta,</w:t>
              <w:br/>
              <w:t>GA 30339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SOFR+7.25%,</w:t>
            </w:r>
            <w:r>
              <w:rPr>
                <w:rFonts w:ascii="Aptos" w:hAnsi="Aptos"/>
                <w:color w:val="231F20"/>
                <w:spacing w:val="-8"/>
                <w:sz w:val="12"/>
              </w:rPr>
              <w:t xml:space="preserve"> </w:t>
            </w:r>
            <w:r>
              <w:rPr>
                <w:rFonts w:ascii="Times New Roman;Times;serif" w:hAnsi="Times New Roman;Times;serif"/>
                <w:color w:val="231F20"/>
                <w:sz w:val="12"/>
              </w:rPr>
              <w:t>11.75%</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1.60%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3/22/2029</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20,000</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17,619</w:t>
            </w:r>
          </w:p>
        </w:tc>
        <w:tc>
          <w:tcPr>
            <w:tcW w:w="346" w:type="dxa"/>
            <w:tcBorders/>
            <w:vAlign w:val="center"/>
          </w:tcPr>
          <w:p>
            <w:pPr>
              <w:pStyle w:val="TableContents"/>
              <w:bidi w:val="0"/>
              <w:spacing w:lineRule="auto" w:line="328" w:before="0" w:after="160"/>
              <w:ind w:left="0" w:right="0" w:hanging="0"/>
              <w:jc w:val="left"/>
              <w:rPr/>
            </w:pPr>
            <w:r>
              <w:rPr/>
              <w:t>​</w:t>
            </w:r>
          </w:p>
        </w:tc>
        <w:tc>
          <w:tcPr>
            <w:tcW w:w="532"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17,698</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Skillshare,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215 Park Avenue South</w:t>
              <w:br/>
              <w:t>11th Floor New York,</w:t>
              <w:br/>
              <w:t>NY 10003 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SOFR+6.50%,</w:t>
            </w:r>
            <w:r>
              <w:rPr>
                <w:rFonts w:ascii="Aptos" w:hAnsi="Aptos"/>
                <w:color w:val="231F20"/>
                <w:spacing w:val="-8"/>
                <w:sz w:val="12"/>
              </w:rPr>
              <w:t xml:space="preserve"> </w:t>
            </w:r>
            <w:r>
              <w:rPr>
                <w:rFonts w:ascii="Times New Roman;Times;serif" w:hAnsi="Times New Roman;Times;serif"/>
                <w:color w:val="231F20"/>
                <w:sz w:val="12"/>
              </w:rPr>
              <w:t>10.72%</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3.00%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11/8/2026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30,000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30,144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29,502</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Synack, Inc.</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303 Twin Dolphin Drive,</w:t>
              <w:br/>
              <w:t>6th Floor Redwood City,</w:t>
              <w:br/>
              <w:t>CA 94065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SOFR+7.00%,</w:t>
            </w:r>
            <w:r>
              <w:rPr>
                <w:rFonts w:ascii="Aptos" w:hAnsi="Aptos"/>
                <w:color w:val="231F20"/>
                <w:spacing w:val="-8"/>
                <w:sz w:val="12"/>
              </w:rPr>
              <w:t xml:space="preserve"> </w:t>
            </w:r>
            <w:r>
              <w:rPr>
                <w:rFonts w:ascii="Times New Roman;Times;serif" w:hAnsi="Times New Roman;Times;serif"/>
                <w:color w:val="231F20"/>
                <w:sz w:val="12"/>
              </w:rPr>
              <w:t>11.07%</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1.00%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12/29/2028</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40,000</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39,844</w:t>
            </w:r>
          </w:p>
        </w:tc>
        <w:tc>
          <w:tcPr>
            <w:tcW w:w="346" w:type="dxa"/>
            <w:tcBorders/>
            <w:vAlign w:val="center"/>
          </w:tcPr>
          <w:p>
            <w:pPr>
              <w:pStyle w:val="TableContents"/>
              <w:bidi w:val="0"/>
              <w:spacing w:lineRule="auto" w:line="328" w:before="0" w:after="160"/>
              <w:ind w:left="0" w:right="0" w:hanging="0"/>
              <w:jc w:val="left"/>
              <w:rPr/>
            </w:pPr>
            <w:r>
              <w:rPr/>
              <w:t>​</w:t>
            </w:r>
          </w:p>
        </w:tc>
        <w:tc>
          <w:tcPr>
            <w:tcW w:w="532"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39,893</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Zinnia Corporate Holdings, LLC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5801 Southwest 6th</w:t>
              <w:br/>
              <w:t>Avenue Topeka, KS 66636</w:t>
              <w:br/>
              <w:t>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SOFR+8.00%,</w:t>
            </w:r>
            <w:r>
              <w:rPr>
                <w:rFonts w:ascii="Aptos" w:hAnsi="Aptos"/>
                <w:color w:val="231F20"/>
                <w:spacing w:val="-8"/>
                <w:sz w:val="12"/>
              </w:rPr>
              <w:t xml:space="preserve"> </w:t>
            </w:r>
            <w:r>
              <w:rPr>
                <w:rFonts w:ascii="Times New Roman;Times;serif" w:hAnsi="Times New Roman;Times;serif"/>
                <w:color w:val="231F20"/>
                <w:sz w:val="12"/>
              </w:rPr>
              <w:t>10.00%</w:t>
            </w:r>
            <w:r>
              <w:rPr>
                <w:rFonts w:ascii="Aptos" w:hAnsi="Aptos"/>
                <w:color w:val="231F20"/>
                <w:spacing w:val="-7"/>
                <w:sz w:val="12"/>
              </w:rPr>
              <w:t xml:space="preserve"> </w:t>
            </w:r>
            <w:r>
              <w:rPr>
                <w:rFonts w:ascii="Times New Roman;Times;serif" w:hAnsi="Times New Roman;Times;serif"/>
                <w:color w:val="231F20"/>
                <w:spacing w:val="-2"/>
                <w:sz w:val="12"/>
              </w:rPr>
              <w:t>floor</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9/21/2029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40,000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39,202</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39,202</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Internet Software and Services – 30.49%*</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155,429</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154,708</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Property &amp; Casualty Insurance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Kin Insurance, Inc.</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222 Merchandise Mart</w:t>
              <w:br/>
              <w:t>Plaza Suite 228 Chicago,</w:t>
              <w:br/>
              <w:t>IL 60654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PRIME+6.25%,</w:t>
            </w:r>
            <w:r>
              <w:rPr>
                <w:rFonts w:ascii="Aptos" w:hAnsi="Aptos"/>
                <w:color w:val="231F20"/>
                <w:spacing w:val="-8"/>
                <w:sz w:val="12"/>
              </w:rPr>
              <w:t xml:space="preserve"> </w:t>
            </w:r>
            <w:r>
              <w:rPr>
                <w:rFonts w:ascii="Times New Roman;Times;serif" w:hAnsi="Times New Roman;Times;serif"/>
                <w:color w:val="231F20"/>
                <w:sz w:val="12"/>
              </w:rPr>
              <w:t>12.50%</w:t>
            </w:r>
            <w:r>
              <w:rPr>
                <w:rFonts w:ascii="Aptos" w:hAnsi="Aptos"/>
                <w:color w:val="231F20"/>
                <w:spacing w:val="-8"/>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3.30%</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9/15/2026</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75,000</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75,675</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76,125</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Property &amp; Casualty Insurance – 15.00%*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75,675</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76,125</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System Software</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bottom w:val="single" w:sz="2" w:space="0" w:color="000000"/>
            </w:tcBorders>
            <w:tcMar>
              <w:top w:w="28" w:type="dxa"/>
              <w:bottom w:w="28" w:type="dxa"/>
            </w:tcMar>
            <w:vAlign w:val="center"/>
          </w:tcPr>
          <w:p>
            <w:pPr>
              <w:pStyle w:val="TableContents"/>
              <w:bidi w:val="0"/>
              <w:spacing w:lineRule="auto" w:line="328" w:before="0" w:after="160"/>
              <w:ind w:left="0" w:right="0" w:hanging="0"/>
              <w:jc w:val="right"/>
              <w:rPr>
                <w:color w:val="231F20"/>
                <w:spacing w:val="-2"/>
              </w:rPr>
            </w:pPr>
            <w:r>
              <w:rPr>
                <w:color w:val="231F20"/>
                <w:spacing w:val="-2"/>
              </w:rPr>
              <w:t>​</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bottom w:val="single" w:sz="2" w:space="0" w:color="000000"/>
            </w:tcBorders>
            <w:tcMar>
              <w:top w:w="28" w:type="dxa"/>
              <w:bottom w:w="28" w:type="dxa"/>
            </w:tcMar>
            <w:vAlign w:val="center"/>
          </w:tcPr>
          <w:p>
            <w:pPr>
              <w:pStyle w:val="TableContents"/>
              <w:bidi w:val="0"/>
              <w:spacing w:lineRule="auto" w:line="328" w:before="0" w:after="160"/>
              <w:ind w:left="0" w:right="0" w:hanging="0"/>
              <w:jc w:val="right"/>
              <w:rPr>
                <w:color w:val="231F20"/>
                <w:spacing w:val="-2"/>
              </w:rPr>
            </w:pPr>
            <w:r>
              <w:rPr>
                <w:color w:val="231F20"/>
                <w:spacing w:val="-2"/>
              </w:rPr>
              <w:t>​</w:t>
            </w:r>
          </w:p>
        </w:tc>
      </w:tr>
      <w:tr>
        <w:trPr/>
        <w:tc>
          <w:tcPr>
            <w:tcW w:w="94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3PL Central LLC (dba Extensiv)</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7"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100 North Pacific Coast</w:t>
              <w:br/>
              <w:t>Highway Suite 1100 El</w:t>
              <w:br/>
              <w:t>Segundo, CA 90245</w:t>
              <w:br/>
              <w:t>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8"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SOFR+4.50%,</w:t>
            </w:r>
            <w:r>
              <w:rPr>
                <w:rFonts w:ascii="Aptos" w:hAnsi="Aptos"/>
                <w:color w:val="231F20"/>
                <w:spacing w:val="-7"/>
                <w:sz w:val="12"/>
              </w:rPr>
              <w:t xml:space="preserve"> </w:t>
            </w:r>
            <w:r>
              <w:rPr>
                <w:rFonts w:ascii="Times New Roman;Times;serif" w:hAnsi="Times New Roman;Times;serif"/>
                <w:color w:val="231F20"/>
                <w:sz w:val="12"/>
              </w:rPr>
              <w:t>6.50%</w:t>
            </w:r>
            <w:r>
              <w:rPr>
                <w:rFonts w:ascii="Aptos" w:hAnsi="Aptos"/>
                <w:color w:val="231F20"/>
                <w:spacing w:val="-7"/>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2.50%</w:t>
            </w:r>
            <w:r>
              <w:rPr>
                <w:rFonts w:ascii="Aptos" w:hAnsi="Aptos"/>
                <w:color w:val="231F20"/>
                <w:spacing w:val="-5"/>
                <w:sz w:val="12"/>
              </w:rPr>
              <w:t xml:space="preserve"> </w:t>
            </w:r>
            <w:r>
              <w:rPr>
                <w:rFonts w:ascii="Times New Roman;Times;serif" w:hAnsi="Times New Roman;Times;serif"/>
                <w:color w:val="231F20"/>
                <w:sz w:val="12"/>
              </w:rPr>
              <w:t>PIK,</w:t>
            </w:r>
            <w:r>
              <w:rPr>
                <w:rFonts w:ascii="Aptos" w:hAnsi="Aptos"/>
                <w:color w:val="231F20"/>
                <w:spacing w:val="-4"/>
                <w:sz w:val="12"/>
              </w:rPr>
              <w:t xml:space="preserve"> </w:t>
            </w:r>
            <w:r>
              <w:rPr>
                <w:rFonts w:ascii="Times New Roman;Times;serif" w:hAnsi="Times New Roman;Times;serif"/>
                <w:color w:val="231F20"/>
                <w:sz w:val="12"/>
              </w:rPr>
              <w:t>2.34%</w:t>
            </w:r>
            <w:r>
              <w:rPr>
                <w:rFonts w:ascii="Aptos" w:hAnsi="Aptos"/>
                <w:color w:val="231F20"/>
                <w:spacing w:val="-4"/>
                <w:sz w:val="12"/>
              </w:rPr>
              <w:t xml:space="preserve"> </w:t>
            </w:r>
            <w:r>
              <w:rPr>
                <w:rFonts w:ascii="Times New Roman;Times;serif" w:hAnsi="Times New Roman;Times;serif"/>
                <w:color w:val="231F20"/>
                <w:spacing w:val="-5"/>
                <w:sz w:val="12"/>
              </w:rPr>
              <w:t>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9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11/9/2027</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71,751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5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71,741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32"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69,333</w:t>
            </w:r>
          </w:p>
        </w:tc>
      </w:tr>
      <w:tr>
        <w:trPr/>
        <w:tc>
          <w:tcPr>
            <w:tcW w:w="947"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Linxup, LLC</w:t>
            </w:r>
          </w:p>
        </w:tc>
        <w:tc>
          <w:tcPr>
            <w:tcW w:w="346" w:type="dxa"/>
            <w:tcBorders/>
            <w:vAlign w:val="center"/>
          </w:tcPr>
          <w:p>
            <w:pPr>
              <w:pStyle w:val="TableContents"/>
              <w:bidi w:val="0"/>
              <w:spacing w:lineRule="auto" w:line="328" w:before="0" w:after="160"/>
              <w:ind w:left="0" w:right="0" w:hanging="0"/>
              <w:jc w:val="left"/>
              <w:rPr/>
            </w:pPr>
            <w:r>
              <w:rPr/>
              <w:t>​</w:t>
            </w:r>
          </w:p>
        </w:tc>
        <w:tc>
          <w:tcPr>
            <w:tcW w:w="997"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424 South Woods Mill</w:t>
              <w:br/>
              <w:t>Road Suite 210 Saint</w:t>
              <w:br/>
              <w:t>Louis, MO 63017 United</w:t>
              <w:b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Senior</w:t>
              <w:br/>
              <w:t>Secured</w:t>
            </w:r>
          </w:p>
        </w:tc>
        <w:tc>
          <w:tcPr>
            <w:tcW w:w="346" w:type="dxa"/>
            <w:tcBorders/>
            <w:vAlign w:val="center"/>
          </w:tcPr>
          <w:p>
            <w:pPr>
              <w:pStyle w:val="TableContents"/>
              <w:bidi w:val="0"/>
              <w:spacing w:lineRule="auto" w:line="328" w:before="0" w:after="160"/>
              <w:ind w:left="0" w:right="0" w:hanging="0"/>
              <w:jc w:val="left"/>
              <w:rPr/>
            </w:pPr>
            <w:r>
              <w:rPr/>
              <w:t>​</w:t>
            </w:r>
          </w:p>
        </w:tc>
        <w:tc>
          <w:tcPr>
            <w:tcW w:w="718"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PRIME+3.25%,</w:t>
            </w:r>
            <w:r>
              <w:rPr>
                <w:rFonts w:ascii="Aptos" w:hAnsi="Aptos"/>
                <w:color w:val="231F20"/>
                <w:spacing w:val="-8"/>
                <w:sz w:val="12"/>
              </w:rPr>
              <w:t xml:space="preserve"> </w:t>
            </w:r>
            <w:r>
              <w:rPr>
                <w:rFonts w:ascii="Times New Roman;Times;serif" w:hAnsi="Times New Roman;Times;serif"/>
                <w:color w:val="231F20"/>
                <w:sz w:val="12"/>
              </w:rPr>
              <w:t>11.75%</w:t>
            </w:r>
            <w:r>
              <w:rPr>
                <w:rFonts w:ascii="Aptos" w:hAnsi="Aptos"/>
                <w:color w:val="231F20"/>
                <w:spacing w:val="-8"/>
                <w:sz w:val="12"/>
              </w:rPr>
              <w:t xml:space="preserve"> </w:t>
            </w:r>
            <w:r>
              <w:rPr>
                <w:rFonts w:ascii="Times New Roman;Times;serif" w:hAnsi="Times New Roman;Times;serif"/>
                <w:color w:val="231F20"/>
                <w:spacing w:val="-2"/>
                <w:sz w:val="12"/>
              </w:rPr>
              <w:t>floor,</w:t>
              <w:br/>
            </w:r>
            <w:r>
              <w:rPr>
                <w:rFonts w:ascii="Times New Roman;Times;serif" w:hAnsi="Times New Roman;Times;serif"/>
                <w:color w:val="231F20"/>
                <w:sz w:val="12"/>
              </w:rPr>
              <w:t>2.25%</w:t>
            </w:r>
            <w:r>
              <w:rPr>
                <w:rFonts w:ascii="Aptos" w:hAnsi="Aptos"/>
                <w:color w:val="231F20"/>
                <w:spacing w:val="-5"/>
                <w:sz w:val="12"/>
              </w:rPr>
              <w:t xml:space="preserve"> </w:t>
            </w:r>
            <w:r>
              <w:rPr>
                <w:rFonts w:ascii="Times New Roman;Times;serif" w:hAnsi="Times New Roman;Times;serif"/>
                <w:color w:val="231F20"/>
                <w:spacing w:val="-5"/>
                <w:sz w:val="12"/>
              </w:rPr>
              <w:t>ETP</w:t>
            </w:r>
          </w:p>
        </w:tc>
        <w:tc>
          <w:tcPr>
            <w:tcW w:w="346" w:type="dxa"/>
            <w:tcBorders/>
            <w:vAlign w:val="center"/>
          </w:tcPr>
          <w:p>
            <w:pPr>
              <w:pStyle w:val="TableContents"/>
              <w:bidi w:val="0"/>
              <w:spacing w:lineRule="auto" w:line="328" w:before="0" w:after="160"/>
              <w:ind w:left="0" w:right="0" w:hanging="0"/>
              <w:jc w:val="left"/>
              <w:rPr/>
            </w:pPr>
            <w:r>
              <w:rPr/>
              <w:t>​</w:t>
            </w:r>
          </w:p>
        </w:tc>
        <w:tc>
          <w:tcPr>
            <w:tcW w:w="59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11/15/2027</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30,000</w:t>
            </w:r>
          </w:p>
        </w:tc>
        <w:tc>
          <w:tcPr>
            <w:tcW w:w="346" w:type="dxa"/>
            <w:tcBorders/>
            <w:vAlign w:val="center"/>
          </w:tcPr>
          <w:p>
            <w:pPr>
              <w:pStyle w:val="TableContents"/>
              <w:bidi w:val="0"/>
              <w:spacing w:lineRule="auto" w:line="328" w:before="0" w:after="160"/>
              <w:ind w:left="0" w:right="0" w:hanging="0"/>
              <w:jc w:val="left"/>
              <w:rPr/>
            </w:pPr>
            <w:r>
              <w:rPr/>
              <w:t>​</w:t>
            </w:r>
          </w:p>
        </w:tc>
        <w:tc>
          <w:tcPr>
            <w:tcW w:w="45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29,703</w:t>
            </w:r>
          </w:p>
        </w:tc>
        <w:tc>
          <w:tcPr>
            <w:tcW w:w="346" w:type="dxa"/>
            <w:tcBorders/>
            <w:vAlign w:val="center"/>
          </w:tcPr>
          <w:p>
            <w:pPr>
              <w:pStyle w:val="TableContents"/>
              <w:bidi w:val="0"/>
              <w:spacing w:lineRule="auto" w:line="328" w:before="0" w:after="160"/>
              <w:ind w:left="0" w:right="0" w:hanging="0"/>
              <w:jc w:val="left"/>
              <w:rPr/>
            </w:pPr>
            <w:r>
              <w:rPr/>
              <w:t>​</w:t>
            </w:r>
          </w:p>
        </w:tc>
        <w:tc>
          <w:tcPr>
            <w:tcW w:w="532" w:type="dxa"/>
            <w:tcBorders/>
            <w:vAlign w:val="center"/>
          </w:tcPr>
          <w:p>
            <w:pPr>
              <w:pStyle w:val="TableContents"/>
              <w:bidi w:val="0"/>
              <w:spacing w:lineRule="auto" w:line="285" w:before="0" w:after="0"/>
              <w:ind w:left="0" w:right="58"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30,556</w:t>
            </w:r>
          </w:p>
        </w:tc>
      </w:tr>
    </w:tbl>
    <w:tbl>
      <w:tblPr>
        <w:tblW w:w="3017" w:type="dxa"/>
        <w:jc w:val="left"/>
        <w:tblInd w:w="200" w:type="dxa"/>
        <w:tblLayout w:type="fixed"/>
        <w:tblCellMar>
          <w:top w:w="0" w:type="dxa"/>
          <w:left w:w="0" w:type="dxa"/>
          <w:bottom w:w="0" w:type="dxa"/>
          <w:right w:w="0" w:type="dxa"/>
        </w:tblCellMar>
      </w:tblPr>
      <w:tblGrid>
        <w:gridCol w:w="226"/>
        <w:gridCol w:w="2791"/>
      </w:tblGrid>
      <w:tr>
        <w:trPr/>
        <w:tc>
          <w:tcPr>
            <w:tcW w:w="22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w:t>
            </w:r>
          </w:p>
        </w:tc>
        <w:tc>
          <w:tcPr>
            <w:tcW w:w="279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Value as percentage of net assets</w:t>
            </w:r>
          </w:p>
        </w:tc>
      </w:tr>
    </w:tbl>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28" w:before="0" w:after="160"/>
        <w:ind w:left="200" w:right="200" w:firstLine="360"/>
        <w:jc w:val="left"/>
        <w:rPr/>
      </w:pPr>
      <w:r>
        <w:rPr/>
        <w:t>​</w:t>
      </w:r>
    </w:p>
    <w:tbl>
      <w:tblPr>
        <w:tblW w:w="10009" w:type="dxa"/>
        <w:jc w:val="left"/>
        <w:tblInd w:w="200" w:type="dxa"/>
        <w:tblLayout w:type="fixed"/>
        <w:tblCellMar>
          <w:top w:w="0" w:type="dxa"/>
          <w:left w:w="0" w:type="dxa"/>
          <w:bottom w:w="0" w:type="dxa"/>
          <w:right w:w="0" w:type="dxa"/>
        </w:tblCellMar>
      </w:tblPr>
      <w:tblGrid>
        <w:gridCol w:w="916"/>
        <w:gridCol w:w="346"/>
        <w:gridCol w:w="991"/>
        <w:gridCol w:w="346"/>
        <w:gridCol w:w="691"/>
        <w:gridCol w:w="346"/>
        <w:gridCol w:w="721"/>
        <w:gridCol w:w="346"/>
        <w:gridCol w:w="586"/>
        <w:gridCol w:w="346"/>
        <w:gridCol w:w="571"/>
        <w:gridCol w:w="346"/>
        <w:gridCol w:w="586"/>
        <w:gridCol w:w="346"/>
        <w:gridCol w:w="706"/>
        <w:gridCol w:w="346"/>
        <w:gridCol w:w="586"/>
        <w:gridCol w:w="346"/>
        <w:gridCol w:w="541"/>
      </w:tblGrid>
      <w:tr>
        <w:trPr/>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hanging="0"/>
              <w:jc w:val="left"/>
              <w:rPr>
                <w:sz w:val="4"/>
                <w:szCs w:val="4"/>
              </w:rPr>
            </w:pPr>
            <w:r>
              <w:rPr>
                <w:sz w:val="4"/>
                <w:szCs w:val="4"/>
              </w:rPr>
            </w:r>
          </w:p>
        </w:tc>
      </w:tr>
      <w:tr>
        <w:trPr/>
        <w:tc>
          <w:tcPr>
            <w:tcW w:w="91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283"/>
              <w:ind w:left="0" w:right="0" w:hanging="0"/>
              <w:jc w:val="left"/>
              <w:rPr>
                <w:sz w:val="4"/>
                <w:szCs w:val="4"/>
              </w:rPr>
            </w:pPr>
            <w:r>
              <w:rPr>
                <w:sz w:val="4"/>
                <w:szCs w:val="4"/>
              </w:rPr>
            </w:r>
          </w:p>
        </w:tc>
      </w:tr>
      <w:tr>
        <w:trPr/>
        <w:tc>
          <w:tcPr>
            <w:tcW w:w="91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Percentage of</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283"/>
              <w:ind w:left="0" w:right="0" w:hanging="0"/>
              <w:jc w:val="left"/>
              <w:rPr>
                <w:sz w:val="4"/>
                <w:szCs w:val="4"/>
              </w:rPr>
            </w:pPr>
            <w:r>
              <w:rPr>
                <w:sz w:val="4"/>
                <w:szCs w:val="4"/>
              </w:rPr>
            </w:r>
          </w:p>
        </w:tc>
      </w:tr>
      <w:tr>
        <w:trPr/>
        <w:tc>
          <w:tcPr>
            <w:tcW w:w="91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9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2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7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Class Held on a</w:t>
            </w:r>
          </w:p>
        </w:tc>
        <w:tc>
          <w:tcPr>
            <w:tcW w:w="346" w:type="dxa"/>
            <w:tcBorders/>
            <w:vAlign w:val="center"/>
          </w:tcPr>
          <w:p>
            <w:pPr>
              <w:pStyle w:val="TableContents"/>
              <w:bidi w:val="0"/>
              <w:spacing w:lineRule="auto" w:line="328" w:before="0" w:after="160"/>
              <w:ind w:left="0" w:right="0" w:hanging="0"/>
              <w:jc w:val="center"/>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Fair</w:t>
            </w:r>
          </w:p>
        </w:tc>
      </w:tr>
      <w:tr>
        <w:trPr/>
        <w:tc>
          <w:tcPr>
            <w:tcW w:w="91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9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46" w:type="dxa"/>
            <w:tcBorders/>
            <w:vAlign w:val="center"/>
          </w:tcPr>
          <w:p>
            <w:pPr>
              <w:pStyle w:val="TableContents"/>
              <w:bidi w:val="0"/>
              <w:spacing w:lineRule="auto" w:line="328" w:before="0" w:after="160"/>
              <w:ind w:left="0" w:right="0" w:hanging="0"/>
              <w:jc w:val="center"/>
              <w:rPr/>
            </w:pPr>
            <w:r>
              <w:rPr/>
              <w:t>​</w:t>
            </w:r>
          </w:p>
        </w:tc>
        <w:tc>
          <w:tcPr>
            <w:tcW w:w="72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Maturity</w:t>
            </w:r>
          </w:p>
        </w:tc>
        <w:tc>
          <w:tcPr>
            <w:tcW w:w="346" w:type="dxa"/>
            <w:tcBorders/>
            <w:vAlign w:val="center"/>
          </w:tcPr>
          <w:p>
            <w:pPr>
              <w:pStyle w:val="TableContents"/>
              <w:bidi w:val="0"/>
              <w:spacing w:lineRule="auto" w:line="328" w:before="0" w:after="160"/>
              <w:ind w:left="0" w:right="0" w:hanging="0"/>
              <w:jc w:val="center"/>
              <w:rPr/>
            </w:pPr>
            <w:r>
              <w:rPr/>
              <w:t>​</w:t>
            </w:r>
          </w:p>
        </w:tc>
        <w:tc>
          <w:tcPr>
            <w:tcW w:w="57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Fully Diluted</w:t>
            </w:r>
          </w:p>
        </w:tc>
        <w:tc>
          <w:tcPr>
            <w:tcW w:w="346" w:type="dxa"/>
            <w:tcBorders/>
            <w:vAlign w:val="center"/>
          </w:tcPr>
          <w:p>
            <w:pPr>
              <w:pStyle w:val="TableContents"/>
              <w:bidi w:val="0"/>
              <w:spacing w:lineRule="auto" w:line="328" w:before="0" w:after="160"/>
              <w:ind w:left="0" w:right="0" w:hanging="0"/>
              <w:jc w:val="center"/>
              <w:rPr/>
            </w:pPr>
            <w:r>
              <w:rPr/>
              <w:t>​</w:t>
            </w:r>
          </w:p>
        </w:tc>
        <w:tc>
          <w:tcPr>
            <w:tcW w:w="58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Cost</w:t>
            </w:r>
          </w:p>
        </w:tc>
        <w:tc>
          <w:tcPr>
            <w:tcW w:w="346" w:type="dxa"/>
            <w:tcBorders/>
            <w:vAlign w:val="center"/>
          </w:tcPr>
          <w:p>
            <w:pPr>
              <w:pStyle w:val="TableContents"/>
              <w:bidi w:val="0"/>
              <w:spacing w:lineRule="auto" w:line="328" w:before="0" w:after="16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Value</w:t>
            </w:r>
          </w:p>
        </w:tc>
      </w:tr>
      <w:tr>
        <w:trPr/>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Portfolio Company</w:t>
            </w:r>
          </w:p>
        </w:tc>
        <w:tc>
          <w:tcPr>
            <w:tcW w:w="346" w:type="dxa"/>
            <w:tcBorders/>
            <w:vAlign w:val="center"/>
          </w:tcPr>
          <w:p>
            <w:pPr>
              <w:pStyle w:val="TableContents"/>
              <w:bidi w:val="0"/>
              <w:spacing w:lineRule="auto" w:line="285"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w:t>
            </w:r>
          </w:p>
        </w:tc>
        <w:tc>
          <w:tcPr>
            <w:tcW w:w="346" w:type="dxa"/>
            <w:tcBorders/>
            <w:vAlign w:val="center"/>
          </w:tcPr>
          <w:p>
            <w:pPr>
              <w:pStyle w:val="TableContents"/>
              <w:bidi w:val="0"/>
              <w:spacing w:lineRule="auto" w:line="285"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Type</w:t>
            </w:r>
          </w:p>
        </w:tc>
        <w:tc>
          <w:tcPr>
            <w:tcW w:w="346" w:type="dxa"/>
            <w:tcBorders/>
            <w:vAlign w:val="center"/>
          </w:tcPr>
          <w:p>
            <w:pPr>
              <w:pStyle w:val="TableContents"/>
              <w:bidi w:val="0"/>
              <w:spacing w:lineRule="auto" w:line="285"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 Description</w:t>
            </w:r>
          </w:p>
        </w:tc>
        <w:tc>
          <w:tcPr>
            <w:tcW w:w="346" w:type="dxa"/>
            <w:tcBorders/>
            <w:vAlign w:val="center"/>
          </w:tcPr>
          <w:p>
            <w:pPr>
              <w:pStyle w:val="TableContents"/>
              <w:bidi w:val="0"/>
              <w:spacing w:lineRule="auto" w:line="285"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Date</w:t>
            </w:r>
          </w:p>
        </w:tc>
        <w:tc>
          <w:tcPr>
            <w:tcW w:w="346" w:type="dxa"/>
            <w:tcBorders/>
            <w:vAlign w:val="center"/>
          </w:tcPr>
          <w:p>
            <w:pPr>
              <w:pStyle w:val="TableContents"/>
              <w:bidi w:val="0"/>
              <w:spacing w:lineRule="auto" w:line="285"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Principal ($)</w:t>
            </w:r>
          </w:p>
        </w:tc>
        <w:tc>
          <w:tcPr>
            <w:tcW w:w="346" w:type="dxa"/>
            <w:tcBorders/>
            <w:vAlign w:val="center"/>
          </w:tcPr>
          <w:p>
            <w:pPr>
              <w:pStyle w:val="TableContents"/>
              <w:bidi w:val="0"/>
              <w:spacing w:lineRule="auto" w:line="285"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lineRule="auto" w:line="285"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Basis</w:t>
            </w:r>
          </w:p>
        </w:tc>
        <w:tc>
          <w:tcPr>
            <w:tcW w:w="346" w:type="dxa"/>
            <w:tcBorders/>
            <w:vAlign w:val="center"/>
          </w:tcPr>
          <w:p>
            <w:pPr>
              <w:pStyle w:val="TableContents"/>
              <w:bidi w:val="0"/>
              <w:spacing w:lineRule="auto" w:line="285"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r>
      <w:tr>
        <w:trPr/>
        <w:tc>
          <w:tcPr>
            <w:tcW w:w="91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Dejero Labs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top w:val="single" w:sz="2" w:space="0" w:color="000000"/>
            </w:tcBorders>
            <w:shd w:fill="CCEEFF" w:val="clear"/>
            <w:tcMar>
              <w:top w:w="28" w:type="dxa"/>
            </w:tcM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410 Albert Street Suite 200</w:t>
              <w:br/>
              <w:t>Waterloo, Ontario N2L</w:t>
              <w:br/>
              <w:t>3V3 Canada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Second</w:t>
              <w:br/>
              <w:t>Lien</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SOFR+8.00%, 8.50% floor,</w:t>
              <w:br/>
              <w:t>2.00% PIK, 3.00% 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12/22/2025</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14,390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14,590</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14,501</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System Software – 22.55%*</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116,034</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114,390</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Debt Investments – 192.73%*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1,001,304</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977,845</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Equity Investments</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Advertising</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1" w:type="dxa"/>
            <w:tcBorders/>
            <w:shd w:fill="CCEEFF" w:val="clear"/>
            <w:vAlign w:val="center"/>
          </w:tcPr>
          <w:p>
            <w:pPr>
              <w:pStyle w:val="TableContents"/>
              <w:bidi w:val="0"/>
              <w:spacing w:lineRule="auto" w:line="328" w:before="0" w:after="160"/>
              <w:ind w:left="0" w:right="0" w:hanging="0"/>
              <w:jc w:val="right"/>
              <w:rPr/>
            </w:pPr>
            <w:r>
              <w:rPr/>
              <w:t>​</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Minute Media Inc.</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10 Northburgh St,</w:t>
              <w:br/>
              <w:t>London EC1V 0AT,</w:t>
              <w:br/>
              <w:t>United Kingdom</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Preferred Stock</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1,039</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120</w:t>
            </w:r>
          </w:p>
        </w:tc>
        <w:tc>
          <w:tcPr>
            <w:tcW w:w="346" w:type="dxa"/>
            <w:tcBorders/>
            <w:vAlign w:val="center"/>
          </w:tcPr>
          <w:p>
            <w:pPr>
              <w:pStyle w:val="TableContents"/>
              <w:bidi w:val="0"/>
              <w:spacing w:lineRule="auto" w:line="328" w:before="0" w:after="16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125</w:t>
            </w:r>
          </w:p>
        </w:tc>
      </w:tr>
      <w:tr>
        <w:trPr/>
        <w:tc>
          <w:tcPr>
            <w:tcW w:w="916"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Common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136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16</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14</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Advertising – 0.02%*</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136</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139</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Application Software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Aria Systems, Inc.</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575 Market Street</w:t>
              <w:br/>
              <w:t>4th Floor San Francisco,</w:t>
              <w:br/>
              <w:t>CA 94105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Series G Preferred Stock</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289,419</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250</w:t>
            </w:r>
          </w:p>
        </w:tc>
        <w:tc>
          <w:tcPr>
            <w:tcW w:w="346" w:type="dxa"/>
            <w:tcBorders/>
            <w:vAlign w:val="center"/>
          </w:tcPr>
          <w:p>
            <w:pPr>
              <w:pStyle w:val="TableContents"/>
              <w:bidi w:val="0"/>
              <w:spacing w:lineRule="auto" w:line="328" w:before="0" w:after="16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250</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FiscalNote,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1201 Pennsylvania Avenue</w:t>
              <w:br/>
              <w:t>North West 6th Floor</w:t>
              <w:br/>
              <w:t>Washington, DC 20004</w:t>
              <w:br/>
              <w:t>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Common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230,881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0.16</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438</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296</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Application Software – 0.11%*</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688</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546</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Healthcare Technology</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CareCloud, Inc.</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7 Clyde Road Somerset</w:t>
              <w:br/>
              <w:t>Franklin Township,</w:t>
              <w:br/>
              <w:t>NJ 08873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11% Series A Cumulative</w:t>
              <w:br/>
              <w:t>Redeemable Perpetual</w:t>
              <w:br/>
              <w:t>Preferred Stock</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462,064</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12,132</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5,526</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Healthcare Technology – 1.09%*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12,132</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5,526</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Human Resource &amp; Employment Services</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Snagajob.com,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50 Milk Street Boston,</w:t>
              <w:br/>
              <w:t>MA 02109 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Convertible Note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12/31/2026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1,696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1,696</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Human Resource &amp; Employment Services – 0.00%*</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1,696</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pPr>
            <w:r>
              <w:rPr/>
              <w:t>—</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Internet &amp; Direct Marketing Retail</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328" w:before="0" w:after="16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color w:val="231F20"/>
                <w:spacing w:val="-2"/>
              </w:rPr>
            </w:pPr>
            <w:r>
              <w:rPr>
                <w:color w:val="231F20"/>
                <w:spacing w:val="-2"/>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328" w:before="0" w:after="16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right"/>
              <w:rPr>
                <w:color w:val="231F20"/>
                <w:spacing w:val="-2"/>
              </w:rPr>
            </w:pPr>
            <w:r>
              <w:rPr>
                <w:color w:val="231F20"/>
                <w:spacing w:val="-2"/>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328" w:before="0" w:after="16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color w:val="231F20"/>
                <w:spacing w:val="-2"/>
              </w:rPr>
            </w:pPr>
            <w:r>
              <w:rPr>
                <w:color w:val="231F20"/>
                <w:spacing w:val="-2"/>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color w:val="231F20"/>
                <w:spacing w:val="-2"/>
              </w:rPr>
            </w:pPr>
            <w:r>
              <w:rPr>
                <w:color w:val="231F20"/>
                <w:spacing w:val="-2"/>
              </w:rPr>
              <w:t>​</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Marley Spoon SE</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Paul-Lincke-Ufer 39-40</w:t>
              <w:br/>
              <w:t>10999 Berlin, Germany</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Common Stock</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46,004</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0.22</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410</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60</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Internet &amp; Direct Marketing Retail – 0.01%*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410</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60</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Technology Hardware, Storage &amp; Peripherals</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Quantum Corporation</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224 Airport Parkway</w:t>
              <w:br/>
              <w:t>Suite 550 San Jose,</w:t>
              <w:br/>
              <w:t>CA 95110 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Common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22,986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2,607</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80</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zSpace, Inc.</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490 De Guigne Drive,</w:t>
              <w:br/>
              <w:t>Suite 200 Sunnyvale,</w:t>
              <w:br/>
              <w:t>CA 94085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Equity</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Common Stock</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6,078,499</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1,119</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Technology Hardware, Storage &amp; Peripherals – 0.02%*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3,726</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80</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Equity Investments – 1.25%*</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18,788</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6,351</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1"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Application Software</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41" w:type="dxa"/>
            <w:tcBorders/>
            <w:vAlign w:val="center"/>
          </w:tcPr>
          <w:p>
            <w:pPr>
              <w:pStyle w:val="TableContents"/>
              <w:bidi w:val="0"/>
              <w:spacing w:lineRule="auto" w:line="328" w:before="0" w:after="160"/>
              <w:ind w:left="0" w:right="0" w:hanging="0"/>
              <w:jc w:val="right"/>
              <w:rPr/>
            </w:pPr>
            <w:r>
              <w:rPr/>
              <w:t>​</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3DNA Corp. (dba NationBuilder)</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PO Box 811428 Los</w:t>
              <w:br/>
              <w:t>Angeles, CA 90081 United</w:t>
              <w:b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Series C-1 Preferred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12/28/2028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273,164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104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Airship Group, Inc.</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1225 West Burnside</w:t>
              <w:br/>
              <w:t>Suite 401 Portland,</w:t>
              <w:br/>
              <w:t>OR 97209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Series F Preferred Stock</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6/28/2034</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519,313</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414</w:t>
            </w:r>
          </w:p>
        </w:tc>
        <w:tc>
          <w:tcPr>
            <w:tcW w:w="346" w:type="dxa"/>
            <w:tcBorders/>
            <w:vAlign w:val="center"/>
          </w:tcPr>
          <w:p>
            <w:pPr>
              <w:pStyle w:val="TableContents"/>
              <w:bidi w:val="0"/>
              <w:spacing w:lineRule="auto" w:line="328" w:before="0" w:after="16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450</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Aria Systems,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575 Market Street 4th</w:t>
              <w:br/>
              <w:t>Floor San Francisco,</w:t>
              <w:br/>
              <w:t>CA 94105 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Series G Preferred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6/29/2028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2,387,705</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1,048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1,133</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Blueshift Labs, Inc.</w:t>
            </w:r>
          </w:p>
        </w:tc>
        <w:tc>
          <w:tcPr>
            <w:tcW w:w="346" w:type="dxa"/>
            <w:tcBorders/>
            <w:vAlign w:val="center"/>
          </w:tcPr>
          <w:p>
            <w:pPr>
              <w:pStyle w:val="TableContents"/>
              <w:bidi w:val="0"/>
              <w:spacing w:lineRule="auto" w:line="328" w:before="0" w:after="160"/>
              <w:ind w:left="0" w:right="0" w:hanging="0"/>
              <w:jc w:val="left"/>
              <w:rPr/>
            </w:pPr>
            <w:r>
              <w:rPr/>
              <w:t>​</w:t>
            </w:r>
          </w:p>
        </w:tc>
        <w:tc>
          <w:tcPr>
            <w:tcW w:w="991"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433 California Street</w:t>
              <w:br/>
              <w:t>Suite 800 8th Floor San</w:t>
              <w:br/>
              <w:t>Francisco, CA 94104</w:t>
              <w:br/>
              <w:t>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Success fee</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0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167</w:t>
            </w:r>
          </w:p>
        </w:tc>
        <w:tc>
          <w:tcPr>
            <w:tcW w:w="346" w:type="dxa"/>
            <w:tcBorders/>
            <w:vAlign w:val="center"/>
          </w:tcPr>
          <w:p>
            <w:pPr>
              <w:pStyle w:val="TableContents"/>
              <w:bidi w:val="0"/>
              <w:spacing w:lineRule="auto" w:line="328" w:before="0" w:after="16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188</w:t>
            </w:r>
          </w:p>
        </w:tc>
      </w:tr>
      <w:tr>
        <w:trPr/>
        <w:tc>
          <w:tcPr>
            <w:tcW w:w="9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Circadence Corporation</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91"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1900 9th Street Suite 300</w:t>
              <w:br/>
              <w:t>Boulder, CO 80302 United</w:t>
              <w:b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Series A-6 Preferred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12/20/2028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1,538,462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3,630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1" w:type="dxa"/>
            <w:tcBorders/>
            <w:shd w:fill="CCEEFF" w:val="clear"/>
            <w:vAlign w:val="center"/>
          </w:tcPr>
          <w:p>
            <w:pPr>
              <w:pStyle w:val="TableContents"/>
              <w:bidi w:val="0"/>
              <w:spacing w:lineRule="auto" w:line="285" w:before="0" w:after="0"/>
              <w:ind w:left="0" w:right="58" w:hanging="0"/>
              <w:jc w:val="right"/>
              <w:rPr>
                <w:rFonts w:ascii="Times New Roman;Times;serif" w:hAnsi="Times New Roman;Times;serif"/>
                <w:sz w:val="12"/>
              </w:rPr>
            </w:pPr>
            <w:r>
              <w:rPr>
                <w:rFonts w:ascii="Times New Roman;Times;serif" w:hAnsi="Times New Roman;Times;serif"/>
                <w:sz w:val="12"/>
              </w:rPr>
              <w:t>229</w:t>
            </w:r>
          </w:p>
        </w:tc>
      </w:tr>
    </w:tbl>
    <w:tbl>
      <w:tblPr>
        <w:tblW w:w="3017" w:type="dxa"/>
        <w:jc w:val="left"/>
        <w:tblInd w:w="200" w:type="dxa"/>
        <w:tblLayout w:type="fixed"/>
        <w:tblCellMar>
          <w:top w:w="0" w:type="dxa"/>
          <w:left w:w="0" w:type="dxa"/>
          <w:bottom w:w="0" w:type="dxa"/>
          <w:right w:w="0" w:type="dxa"/>
        </w:tblCellMar>
      </w:tblPr>
      <w:tblGrid>
        <w:gridCol w:w="226"/>
        <w:gridCol w:w="2791"/>
      </w:tblGrid>
      <w:tr>
        <w:trPr/>
        <w:tc>
          <w:tcPr>
            <w:tcW w:w="22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w:t>
            </w:r>
          </w:p>
        </w:tc>
        <w:tc>
          <w:tcPr>
            <w:tcW w:w="279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Value as percentage of net assets</w:t>
            </w:r>
          </w:p>
        </w:tc>
      </w:tr>
    </w:tbl>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28" w:before="0" w:after="16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1059"/>
        <w:gridCol w:w="346"/>
        <w:gridCol w:w="1022"/>
        <w:gridCol w:w="226"/>
        <w:gridCol w:w="691"/>
        <w:gridCol w:w="346"/>
        <w:gridCol w:w="784"/>
        <w:gridCol w:w="346"/>
        <w:gridCol w:w="608"/>
        <w:gridCol w:w="346"/>
        <w:gridCol w:w="585"/>
        <w:gridCol w:w="346"/>
        <w:gridCol w:w="484"/>
        <w:gridCol w:w="346"/>
        <w:gridCol w:w="733"/>
        <w:gridCol w:w="346"/>
        <w:gridCol w:w="376"/>
        <w:gridCol w:w="346"/>
        <w:gridCol w:w="469"/>
      </w:tblGrid>
      <w:tr>
        <w:trPr/>
        <w:tc>
          <w:tcPr>
            <w:tcW w:w="10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ind w:left="0" w:right="0" w:hanging="0"/>
              <w:jc w:val="left"/>
              <w:rPr>
                <w:sz w:val="4"/>
                <w:szCs w:val="4"/>
              </w:rPr>
            </w:pPr>
            <w:r>
              <w:rPr>
                <w:sz w:val="4"/>
                <w:szCs w:val="4"/>
              </w:rPr>
            </w:r>
          </w:p>
        </w:tc>
      </w:tr>
      <w:tr>
        <w:trPr/>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72465" cy="29210"/>
                      <wp:effectExtent l="0" t="0" r="0" b="0"/>
                      <wp:wrapNone/>
                      <wp:docPr id="32" name="Frame30"/>
                      <a:graphic xmlns:a="http://schemas.openxmlformats.org/drawingml/2006/main">
                        <a:graphicData uri="http://schemas.microsoft.com/office/word/2010/wordprocessingShape">
                          <wps:wsp>
                            <wps:cNvSpPr txBox="1"/>
                            <wps:spPr>
                              <a:xfrm>
                                <a:off x="0" y="0"/>
                                <a:ext cx="6724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29210"/>
                      <wp:effectExtent l="0" t="0" r="0" b="0"/>
                      <wp:wrapNone/>
                      <wp:docPr id="33" name="Frame3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970" cy="29210"/>
                      <wp:effectExtent l="0" t="0" r="0" b="0"/>
                      <wp:wrapNone/>
                      <wp:docPr id="34" name="Frame32"/>
                      <a:graphic xmlns:a="http://schemas.openxmlformats.org/drawingml/2006/main">
                        <a:graphicData uri="http://schemas.microsoft.com/office/word/2010/wordprocessingShape">
                          <wps:wsp>
                            <wps:cNvSpPr txBox="1"/>
                            <wps:spPr>
                              <a:xfrm>
                                <a:off x="0" y="0"/>
                                <a:ext cx="6489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3510" cy="29210"/>
                      <wp:effectExtent l="0" t="0" r="0" b="0"/>
                      <wp:wrapNone/>
                      <wp:docPr id="35" name="Frame33"/>
                      <a:graphic xmlns:a="http://schemas.openxmlformats.org/drawingml/2006/main">
                        <a:graphicData uri="http://schemas.microsoft.com/office/word/2010/wordprocessingShape">
                          <wps:wsp>
                            <wps:cNvSpPr txBox="1"/>
                            <wps:spPr>
                              <a:xfrm>
                                <a:off x="0" y="0"/>
                                <a:ext cx="143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38785" cy="29210"/>
                      <wp:effectExtent l="0" t="0" r="0" b="0"/>
                      <wp:wrapNone/>
                      <wp:docPr id="36" name="Frame34"/>
                      <a:graphic xmlns:a="http://schemas.openxmlformats.org/drawingml/2006/main">
                        <a:graphicData uri="http://schemas.microsoft.com/office/word/2010/wordprocessingShape">
                          <wps:wsp>
                            <wps:cNvSpPr txBox="1"/>
                            <wps:spPr>
                              <a:xfrm>
                                <a:off x="0" y="0"/>
                                <a:ext cx="438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29210"/>
                      <wp:effectExtent l="0" t="0" r="0" b="0"/>
                      <wp:wrapNone/>
                      <wp:docPr id="37" name="Frame3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7840" cy="29210"/>
                      <wp:effectExtent l="0" t="0" r="0" b="0"/>
                      <wp:wrapNone/>
                      <wp:docPr id="38" name="Frame36"/>
                      <a:graphic xmlns:a="http://schemas.openxmlformats.org/drawingml/2006/main">
                        <a:graphicData uri="http://schemas.microsoft.com/office/word/2010/wordprocessingShape">
                          <wps:wsp>
                            <wps:cNvSpPr txBox="1"/>
                            <wps:spPr>
                              <a:xfrm>
                                <a:off x="0" y="0"/>
                                <a:ext cx="4978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29210"/>
                      <wp:effectExtent l="0" t="0" r="0" b="0"/>
                      <wp:wrapNone/>
                      <wp:docPr id="39" name="Frame3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86080" cy="29210"/>
                      <wp:effectExtent l="0" t="0" r="0" b="0"/>
                      <wp:wrapNone/>
                      <wp:docPr id="40" name="Frame38"/>
                      <a:graphic xmlns:a="http://schemas.openxmlformats.org/drawingml/2006/main">
                        <a:graphicData uri="http://schemas.microsoft.com/office/word/2010/wordprocessingShape">
                          <wps:wsp>
                            <wps:cNvSpPr txBox="1"/>
                            <wps:spPr>
                              <a:xfrm>
                                <a:off x="0" y="0"/>
                                <a:ext cx="3860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29210"/>
                      <wp:effectExtent l="0" t="0" r="0" b="0"/>
                      <wp:wrapNone/>
                      <wp:docPr id="41" name="Frame3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71475" cy="29210"/>
                      <wp:effectExtent l="0" t="0" r="0" b="0"/>
                      <wp:wrapNone/>
                      <wp:docPr id="42" name="Frame40"/>
                      <a:graphic xmlns:a="http://schemas.openxmlformats.org/drawingml/2006/main">
                        <a:graphicData uri="http://schemas.microsoft.com/office/word/2010/wordprocessingShape">
                          <wps:wsp>
                            <wps:cNvSpPr txBox="1"/>
                            <wps:spPr>
                              <a:xfrm>
                                <a:off x="0" y="0"/>
                                <a:ext cx="3714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29210"/>
                      <wp:effectExtent l="0" t="0" r="0" b="0"/>
                      <wp:wrapNone/>
                      <wp:docPr id="43" name="Frame4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07340" cy="29210"/>
                      <wp:effectExtent l="0" t="0" r="0" b="0"/>
                      <wp:wrapNone/>
                      <wp:docPr id="44" name="Frame42"/>
                      <a:graphic xmlns:a="http://schemas.openxmlformats.org/drawingml/2006/main">
                        <a:graphicData uri="http://schemas.microsoft.com/office/word/2010/wordprocessingShape">
                          <wps:wsp>
                            <wps:cNvSpPr txBox="1"/>
                            <wps:spPr>
                              <a:xfrm>
                                <a:off x="0" y="0"/>
                                <a:ext cx="3073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29210"/>
                      <wp:effectExtent l="0" t="0" r="0" b="0"/>
                      <wp:wrapNone/>
                      <wp:docPr id="45" name="Frame4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65455" cy="29210"/>
                      <wp:effectExtent l="0" t="0" r="0" b="0"/>
                      <wp:wrapNone/>
                      <wp:docPr id="46" name="Frame44"/>
                      <a:graphic xmlns:a="http://schemas.openxmlformats.org/drawingml/2006/main">
                        <a:graphicData uri="http://schemas.microsoft.com/office/word/2010/wordprocessingShape">
                          <wps:wsp>
                            <wps:cNvSpPr txBox="1"/>
                            <wps:spPr>
                              <a:xfrm>
                                <a:off x="0" y="0"/>
                                <a:ext cx="4654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29210"/>
                      <wp:effectExtent l="0" t="0" r="0" b="0"/>
                      <wp:wrapNone/>
                      <wp:docPr id="47" name="Frame4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38760" cy="29210"/>
                      <wp:effectExtent l="0" t="0" r="0" b="0"/>
                      <wp:wrapNone/>
                      <wp:docPr id="48" name="Frame46"/>
                      <a:graphic xmlns:a="http://schemas.openxmlformats.org/drawingml/2006/main">
                        <a:graphicData uri="http://schemas.microsoft.com/office/word/2010/wordprocessingShape">
                          <wps:wsp>
                            <wps:cNvSpPr txBox="1"/>
                            <wps:spPr>
                              <a:xfrm>
                                <a:off x="0" y="0"/>
                                <a:ext cx="238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29210"/>
                      <wp:effectExtent l="0" t="0" r="0" b="0"/>
                      <wp:wrapNone/>
                      <wp:docPr id="49" name="Frame4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97815" cy="29210"/>
                      <wp:effectExtent l="0" t="0" r="0" b="0"/>
                      <wp:wrapNone/>
                      <wp:docPr id="50" name="Frame48"/>
                      <a:graphic xmlns:a="http://schemas.openxmlformats.org/drawingml/2006/main">
                        <a:graphicData uri="http://schemas.microsoft.com/office/word/2010/wordprocessingShape">
                          <wps:wsp>
                            <wps:cNvSpPr txBox="1"/>
                            <wps:spPr>
                              <a:xfrm>
                                <a:off x="0" y="0"/>
                                <a:ext cx="2978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5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22"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8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0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8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Percentage of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69" w:type="dxa"/>
            <w:tcBorders/>
            <w:vAlign w:val="center"/>
          </w:tcPr>
          <w:p>
            <w:pPr>
              <w:pStyle w:val="TableContents"/>
              <w:bidi w:val="0"/>
              <w:spacing w:before="0" w:after="283"/>
              <w:ind w:left="0" w:right="0" w:hanging="0"/>
              <w:jc w:val="left"/>
              <w:rPr>
                <w:sz w:val="4"/>
                <w:szCs w:val="4"/>
              </w:rPr>
            </w:pPr>
            <w:r>
              <w:rPr>
                <w:sz w:val="4"/>
                <w:szCs w:val="4"/>
              </w:rPr>
            </w:r>
          </w:p>
        </w:tc>
      </w:tr>
      <w:tr>
        <w:trPr/>
        <w:tc>
          <w:tcPr>
            <w:tcW w:w="105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22"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8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0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8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Class Held on 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Cost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69"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Fair</w:t>
            </w:r>
          </w:p>
        </w:tc>
      </w:tr>
      <w:tr>
        <w:trPr/>
        <w:tc>
          <w:tcPr>
            <w:tcW w:w="10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Portfolio Company</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w:t>
            </w:r>
          </w:p>
        </w:tc>
        <w:tc>
          <w:tcPr>
            <w:tcW w:w="22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Type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78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 Description</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60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Maturity Date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58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Principal ($)</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48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73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Fully Diluted Basis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46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Value ($)</w:t>
            </w:r>
          </w:p>
        </w:tc>
      </w:tr>
      <w:tr>
        <w:trPr/>
        <w:tc>
          <w:tcPr>
            <w:tcW w:w="1059"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22"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22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84"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A-6</w:t>
            </w:r>
            <w:r>
              <w:rPr>
                <w:rFonts w:ascii="Aptos" w:hAnsi="Aptos"/>
                <w:color w:val="231F20"/>
                <w:spacing w:val="-6"/>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8"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10/31/2029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8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84"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384,615</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3"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7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846</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69"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57</w:t>
            </w:r>
          </w:p>
        </w:tc>
      </w:tr>
      <w:tr>
        <w:trPr/>
        <w:tc>
          <w:tcPr>
            <w:tcW w:w="105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22"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84"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Success</w:t>
            </w:r>
            <w:r>
              <w:rPr>
                <w:rFonts w:ascii="Aptos" w:hAnsi="Aptos"/>
                <w:color w:val="231F20"/>
                <w:spacing w:val="-6"/>
                <w:sz w:val="12"/>
              </w:rPr>
              <w:t xml:space="preserve"> </w:t>
            </w:r>
            <w:r>
              <w:rPr>
                <w:rFonts w:ascii="Times New Roman;Times;serif" w:hAnsi="Times New Roman;Times;serif"/>
                <w:color w:val="231F20"/>
                <w:spacing w:val="-5"/>
                <w:sz w:val="12"/>
              </w:rPr>
              <w:t>fee</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304</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69"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287</w:t>
            </w:r>
          </w:p>
        </w:tc>
      </w:tr>
      <w:tr>
        <w:trPr/>
        <w:tc>
          <w:tcPr>
            <w:tcW w:w="1059"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Dtex</w:t>
            </w:r>
            <w:r>
              <w:rPr>
                <w:rFonts w:ascii="Aptos" w:hAnsi="Aptos"/>
                <w:color w:val="231F20"/>
                <w:spacing w:val="-2"/>
                <w:sz w:val="12"/>
              </w:rPr>
              <w:t xml:space="preserve"> </w:t>
            </w:r>
            <w:r>
              <w:rPr>
                <w:rFonts w:ascii="Times New Roman;Times;serif" w:hAnsi="Times New Roman;Times;serif"/>
                <w:color w:val="231F20"/>
                <w:sz w:val="12"/>
              </w:rPr>
              <w:t>Systems,</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22"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19630</w:t>
            </w:r>
            <w:r>
              <w:rPr>
                <w:rFonts w:ascii="Times NR MT Pro" w:hAnsi="Times NR MT Pro"/>
                <w:color w:val="231F20"/>
                <w:spacing w:val="5"/>
                <w:sz w:val="12"/>
              </w:rPr>
              <w:t xml:space="preserve"> </w:t>
            </w:r>
            <w:r>
              <w:rPr>
                <w:rFonts w:ascii="Times New Roman;Times;serif" w:hAnsi="Times New Roman;Times;serif"/>
                <w:color w:val="231F20"/>
                <w:spacing w:val="-2"/>
                <w:sz w:val="12"/>
              </w:rPr>
              <w:t>Allendale</w:t>
            </w:r>
            <w:r>
              <w:rPr>
                <w:rFonts w:ascii="Times NR MT Pro" w:hAnsi="Times NR MT Pro"/>
                <w:color w:val="231F20"/>
                <w:spacing w:val="6"/>
                <w:sz w:val="12"/>
              </w:rPr>
              <w:t xml:space="preserve"> </w:t>
            </w:r>
            <w:r>
              <w:rPr>
                <w:rFonts w:ascii="Times New Roman;Times;serif" w:hAnsi="Times New Roman;Times;serif"/>
                <w:color w:val="231F20"/>
                <w:spacing w:val="-2"/>
                <w:sz w:val="12"/>
              </w:rPr>
              <w:t xml:space="preserve">Avenue </w:t>
            </w:r>
          </w:p>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Suite 2218 Saratoga,</w:t>
            </w:r>
            <w:r>
              <w:rPr>
                <w:rFonts w:ascii="Aptos" w:hAnsi="Aptos"/>
                <w:color w:val="231F20"/>
                <w:spacing w:val="40"/>
                <w:sz w:val="12"/>
              </w:rPr>
              <w:t xml:space="preserve"> </w:t>
            </w:r>
            <w:r>
              <w:rPr>
                <w:rFonts w:ascii="Times New Roman;Times;serif" w:hAnsi="Times New Roman;Times;serif"/>
                <w:color w:val="231F20"/>
                <w:spacing w:val="40"/>
                <w:sz w:val="12"/>
              </w:rPr>
              <w:br/>
            </w:r>
            <w:r>
              <w:rPr>
                <w:rFonts w:ascii="Times New Roman;Times;serif" w:hAnsi="Times New Roman;Times;serif"/>
                <w:color w:val="231F20"/>
                <w:sz w:val="12"/>
              </w:rPr>
              <w:t>CA</w:t>
            </w:r>
            <w:r>
              <w:rPr>
                <w:rFonts w:ascii="Aptos" w:hAnsi="Aptos"/>
                <w:color w:val="231F20"/>
                <w:spacing w:val="-9"/>
                <w:sz w:val="12"/>
              </w:rPr>
              <w:t xml:space="preserve"> </w:t>
            </w:r>
            <w:r>
              <w:rPr>
                <w:rFonts w:ascii="Times New Roman;Times;serif" w:hAnsi="Times New Roman;Times;serif"/>
                <w:color w:val="231F20"/>
                <w:sz w:val="12"/>
              </w:rPr>
              <w:t>95070</w:t>
            </w:r>
            <w:r>
              <w:rPr>
                <w:rFonts w:ascii="Aptos" w:hAnsi="Aptos"/>
                <w:color w:val="231F20"/>
                <w:spacing w:val="-8"/>
                <w:sz w:val="12"/>
              </w:rPr>
              <w:t xml:space="preserve"> </w:t>
            </w:r>
            <w:r>
              <w:rPr>
                <w:rFonts w:ascii="Times New Roman;Times;serif" w:hAnsi="Times New Roman;Times;serif"/>
                <w:color w:val="231F20"/>
                <w:sz w:val="12"/>
              </w:rPr>
              <w:t>United</w:t>
            </w:r>
            <w:r>
              <w:rPr>
                <w:rFonts w:ascii="Aptos" w:hAnsi="Aptos"/>
                <w:color w:val="231F20"/>
                <w:spacing w:val="-8"/>
                <w:sz w:val="12"/>
              </w:rPr>
              <w:t xml:space="preserve"> </w:t>
            </w:r>
            <w:r>
              <w:rPr>
                <w:rFonts w:ascii="Times New Roman;Times;serif" w:hAnsi="Times New Roman;Times;serif"/>
                <w:color w:val="231F20"/>
                <w:sz w:val="12"/>
              </w:rPr>
              <w:t>States</w:t>
            </w:r>
          </w:p>
        </w:tc>
        <w:tc>
          <w:tcPr>
            <w:tcW w:w="22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84"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9"/>
                <w:sz w:val="12"/>
              </w:rPr>
              <w:t xml:space="preserve"> </w:t>
            </w:r>
            <w:r>
              <w:rPr>
                <w:rFonts w:ascii="Times New Roman;Times;serif" w:hAnsi="Times New Roman;Times;serif"/>
                <w:color w:val="231F20"/>
                <w:sz w:val="12"/>
              </w:rPr>
              <w:t>C-Prime</w:t>
            </w:r>
            <w:r>
              <w:rPr>
                <w:rFonts w:ascii="Aptos" w:hAnsi="Aptos"/>
                <w:color w:val="231F20"/>
                <w:spacing w:val="-8"/>
                <w:sz w:val="12"/>
              </w:rPr>
              <w:t xml:space="preserve"> </w:t>
            </w:r>
            <w:r>
              <w:rPr>
                <w:rFonts w:ascii="Times New Roman;Times;serif" w:hAnsi="Times New Roman;Times;serif"/>
                <w:color w:val="231F20"/>
                <w:sz w:val="12"/>
              </w:rPr>
              <w:t>Preferred</w:t>
            </w:r>
            <w:r>
              <w:rPr>
                <w:rFonts w:ascii="Aptos" w:hAnsi="Aptos"/>
                <w:color w:val="231F20"/>
                <w:spacing w:val="40"/>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6/1/2025</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8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500,000</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59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731</w:t>
            </w:r>
          </w:p>
        </w:tc>
      </w:tr>
      <w:tr>
        <w:trPr/>
        <w:tc>
          <w:tcPr>
            <w:tcW w:w="105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328" w:before="0" w:after="160"/>
              <w:ind w:left="0" w:right="0" w:hanging="0"/>
              <w:jc w:val="left"/>
              <w:rPr/>
            </w:pPr>
            <w:r>
              <w:rPr/>
              <w:t>​</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9"/>
                <w:sz w:val="12"/>
              </w:rPr>
              <w:t xml:space="preserve"> </w:t>
            </w:r>
            <w:r>
              <w:rPr>
                <w:rFonts w:ascii="Times New Roman;Times;serif" w:hAnsi="Times New Roman;Times;serif"/>
                <w:color w:val="231F20"/>
                <w:sz w:val="12"/>
              </w:rPr>
              <w:t>C-Prime</w:t>
            </w:r>
            <w:r>
              <w:rPr>
                <w:rFonts w:ascii="Aptos" w:hAnsi="Aptos"/>
                <w:color w:val="231F20"/>
                <w:spacing w:val="-8"/>
                <w:sz w:val="12"/>
              </w:rPr>
              <w:t xml:space="preserve"> </w:t>
            </w:r>
            <w:r>
              <w:rPr>
                <w:rFonts w:ascii="Times New Roman;Times;serif" w:hAnsi="Times New Roman;Times;serif"/>
                <w:color w:val="231F20"/>
                <w:sz w:val="12"/>
              </w:rPr>
              <w:t>Preferred</w:t>
            </w:r>
            <w:r>
              <w:rPr>
                <w:rFonts w:ascii="Aptos" w:hAnsi="Aptos"/>
                <w:color w:val="231F20"/>
                <w:spacing w:val="40"/>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7/11/2026</w:t>
            </w:r>
          </w:p>
        </w:tc>
        <w:tc>
          <w:tcPr>
            <w:tcW w:w="346" w:type="dxa"/>
            <w:tcBorders/>
            <w:vAlign w:val="center"/>
          </w:tcPr>
          <w:p>
            <w:pPr>
              <w:pStyle w:val="TableContents"/>
              <w:bidi w:val="0"/>
              <w:spacing w:lineRule="auto" w:line="328" w:before="0" w:after="160"/>
              <w:ind w:left="0" w:right="0" w:hanging="0"/>
              <w:jc w:val="center"/>
              <w:rPr/>
            </w:pPr>
            <w:r>
              <w:rPr/>
              <w:t>​</w:t>
            </w:r>
          </w:p>
        </w:tc>
        <w:tc>
          <w:tcPr>
            <w:tcW w:w="58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833,333</w:t>
            </w:r>
          </w:p>
        </w:tc>
        <w:tc>
          <w:tcPr>
            <w:tcW w:w="346" w:type="dxa"/>
            <w:tcBorders/>
            <w:vAlign w:val="center"/>
          </w:tcPr>
          <w:p>
            <w:pPr>
              <w:pStyle w:val="TableContents"/>
              <w:bidi w:val="0"/>
              <w:spacing w:lineRule="auto" w:line="328" w:before="0" w:after="160"/>
              <w:ind w:left="0" w:right="0" w:hanging="0"/>
              <w:jc w:val="right"/>
              <w:rPr/>
            </w:pPr>
            <w:r>
              <w:rPr/>
              <w:t>​</w:t>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115</w:t>
            </w:r>
          </w:p>
        </w:tc>
        <w:tc>
          <w:tcPr>
            <w:tcW w:w="346" w:type="dxa"/>
            <w:tcBorders/>
            <w:vAlign w:val="center"/>
          </w:tcPr>
          <w:p>
            <w:pPr>
              <w:pStyle w:val="TableContents"/>
              <w:bidi w:val="0"/>
              <w:spacing w:lineRule="auto" w:line="328" w:before="0" w:after="160"/>
              <w:ind w:left="0" w:right="0" w:hanging="0"/>
              <w:jc w:val="right"/>
              <w:rPr/>
            </w:pPr>
            <w:r>
              <w:rPr/>
              <w:t>​</w:t>
            </w:r>
          </w:p>
        </w:tc>
        <w:tc>
          <w:tcPr>
            <w:tcW w:w="469"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1,218</w:t>
            </w:r>
          </w:p>
        </w:tc>
      </w:tr>
      <w:tr>
        <w:trPr/>
        <w:tc>
          <w:tcPr>
            <w:tcW w:w="1059"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FiscalNote,</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pacing w:val="-2"/>
                <w:sz w:val="12"/>
              </w:rPr>
              <w:t>1201</w:t>
            </w:r>
            <w:r>
              <w:rPr>
                <w:rFonts w:ascii="Aptos" w:hAnsi="Aptos"/>
                <w:color w:val="231F20"/>
                <w:spacing w:val="-7"/>
                <w:sz w:val="12"/>
              </w:rPr>
              <w:t xml:space="preserve"> </w:t>
            </w:r>
            <w:r>
              <w:rPr>
                <w:rFonts w:ascii="Times New Roman;Times;serif" w:hAnsi="Times New Roman;Times;serif"/>
                <w:color w:val="231F20"/>
                <w:spacing w:val="-2"/>
                <w:sz w:val="12"/>
              </w:rPr>
              <w:t>Pennsylvania</w:t>
            </w:r>
            <w:r>
              <w:rPr>
                <w:rFonts w:ascii="Aptos" w:hAnsi="Aptos"/>
                <w:color w:val="231F20"/>
                <w:spacing w:val="-6"/>
                <w:sz w:val="12"/>
              </w:rPr>
              <w:t xml:space="preserve"> </w:t>
            </w:r>
            <w:r>
              <w:rPr>
                <w:rFonts w:ascii="Times New Roman;Times;serif" w:hAnsi="Times New Roman;Times;serif"/>
                <w:color w:val="231F20"/>
                <w:spacing w:val="-2"/>
                <w:sz w:val="12"/>
              </w:rPr>
              <w:t>Avenue</w:t>
            </w:r>
            <w:r>
              <w:rPr>
                <w:rFonts w:ascii="Aptos" w:hAnsi="Aptos"/>
                <w:color w:val="231F20"/>
                <w:spacing w:val="40"/>
                <w:sz w:val="12"/>
              </w:rPr>
              <w:t xml:space="preserve"> </w:t>
            </w:r>
            <w:r>
              <w:rPr>
                <w:rFonts w:ascii="Times New Roman;Times;serif" w:hAnsi="Times New Roman;Times;serif"/>
                <w:color w:val="231F20"/>
                <w:sz w:val="12"/>
              </w:rPr>
              <w:t>North West 6th Floor</w:t>
            </w:r>
            <w:r>
              <w:rPr>
                <w:rFonts w:ascii="Aptos" w:hAnsi="Aptos"/>
                <w:color w:val="231F20"/>
                <w:spacing w:val="40"/>
                <w:sz w:val="12"/>
              </w:rPr>
              <w:t xml:space="preserve"> </w:t>
            </w:r>
            <w:r>
              <w:rPr>
                <w:rFonts w:ascii="Times New Roman;Times;serif" w:hAnsi="Times New Roman;Times;serif"/>
                <w:color w:val="231F20"/>
                <w:sz w:val="12"/>
              </w:rPr>
              <w:t>Washington, DC 20004</w:t>
            </w:r>
            <w:r>
              <w:rPr>
                <w:rFonts w:ascii="Aptos" w:hAnsi="Aptos"/>
                <w:color w:val="231F20"/>
                <w:spacing w:val="40"/>
                <w:sz w:val="12"/>
              </w:rPr>
              <w:t xml:space="preserve"> </w:t>
            </w:r>
            <w:r>
              <w:rPr>
                <w:rFonts w:ascii="Times New Roman;Times;serif" w:hAnsi="Times New Roman;Times;serif"/>
                <w:color w:val="231F20"/>
                <w:sz w:val="12"/>
              </w:rP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Earnout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7/29/2027</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8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127</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14</w:t>
            </w:r>
          </w:p>
        </w:tc>
      </w:tr>
      <w:tr>
        <w:trPr/>
        <w:tc>
          <w:tcPr>
            <w:tcW w:w="1059"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Snap!</w:t>
            </w:r>
            <w:r>
              <w:rPr>
                <w:rFonts w:ascii="Aptos" w:hAnsi="Aptos"/>
                <w:color w:val="231F20"/>
                <w:spacing w:val="-2"/>
                <w:sz w:val="12"/>
              </w:rPr>
              <w:t xml:space="preserve"> </w:t>
            </w:r>
            <w:r>
              <w:rPr>
                <w:rFonts w:ascii="Times New Roman;Times;serif" w:hAnsi="Times New Roman;Times;serif"/>
                <w:color w:val="231F20"/>
                <w:sz w:val="12"/>
              </w:rPr>
              <w:t>Mobile,</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8300 7th Avenue South</w:t>
            </w:r>
            <w:r>
              <w:rPr>
                <w:rFonts w:ascii="Aptos" w:hAnsi="Aptos"/>
                <w:color w:val="231F20"/>
                <w:spacing w:val="40"/>
                <w:sz w:val="12"/>
              </w:rPr>
              <w:t xml:space="preserve"> </w:t>
            </w:r>
            <w:r>
              <w:rPr>
                <w:rFonts w:ascii="Times New Roman;Times;serif" w:hAnsi="Times New Roman;Times;serif"/>
                <w:color w:val="231F20"/>
                <w:spacing w:val="-2"/>
                <w:sz w:val="12"/>
              </w:rPr>
              <w:t>Seattle,</w:t>
            </w:r>
            <w:r>
              <w:rPr>
                <w:rFonts w:ascii="Aptos" w:hAnsi="Aptos"/>
                <w:color w:val="231F20"/>
                <w:spacing w:val="-7"/>
                <w:sz w:val="12"/>
              </w:rPr>
              <w:t xml:space="preserve"> </w:t>
            </w:r>
            <w:r>
              <w:rPr>
                <w:rFonts w:ascii="Times New Roman;Times;serif" w:hAnsi="Times New Roman;Times;serif"/>
                <w:color w:val="231F20"/>
                <w:spacing w:val="-2"/>
                <w:sz w:val="12"/>
              </w:rPr>
              <w:t>WA</w:t>
            </w:r>
            <w:r>
              <w:rPr>
                <w:rFonts w:ascii="Aptos" w:hAnsi="Aptos"/>
                <w:color w:val="231F20"/>
                <w:spacing w:val="-6"/>
                <w:sz w:val="12"/>
              </w:rPr>
              <w:t xml:space="preserve"> </w:t>
            </w:r>
            <w:r>
              <w:rPr>
                <w:rFonts w:ascii="Times New Roman;Times;serif" w:hAnsi="Times New Roman;Times;serif"/>
                <w:color w:val="231F20"/>
                <w:spacing w:val="-2"/>
                <w:sz w:val="12"/>
              </w:rPr>
              <w:t>98108</w:t>
            </w:r>
            <w:r>
              <w:rPr>
                <w:rFonts w:ascii="Aptos" w:hAnsi="Aptos"/>
                <w:color w:val="231F20"/>
                <w:spacing w:val="-6"/>
                <w:sz w:val="12"/>
              </w:rPr>
              <w:t xml:space="preserve"> </w:t>
            </w:r>
            <w:r>
              <w:rPr>
                <w:rFonts w:ascii="Times New Roman;Times;serif" w:hAnsi="Times New Roman;Times;serif"/>
                <w:color w:val="231F20"/>
                <w:spacing w:val="-2"/>
                <w:sz w:val="12"/>
              </w:rPr>
              <w:t>United</w:t>
            </w:r>
            <w:r>
              <w:rPr>
                <w:rFonts w:ascii="Aptos" w:hAnsi="Aptos"/>
                <w:color w:val="231F20"/>
                <w:spacing w:val="40"/>
                <w:sz w:val="12"/>
              </w:rPr>
              <w:t xml:space="preserve"> </w:t>
            </w:r>
            <w:r>
              <w:rPr>
                <w:rFonts w:ascii="Times New Roman;Times;serif" w:hAnsi="Times New Roman;Times;serif"/>
                <w:color w:val="231F20"/>
                <w:spacing w:val="-2"/>
                <w:sz w:val="12"/>
              </w:rPr>
              <w:t>States</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B</w:t>
            </w:r>
            <w:r>
              <w:rPr>
                <w:rFonts w:ascii="Aptos" w:hAnsi="Aptos"/>
                <w:color w:val="231F20"/>
                <w:spacing w:val="-5"/>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9/30/2034</w:t>
            </w:r>
          </w:p>
        </w:tc>
        <w:tc>
          <w:tcPr>
            <w:tcW w:w="346" w:type="dxa"/>
            <w:tcBorders/>
            <w:vAlign w:val="center"/>
          </w:tcPr>
          <w:p>
            <w:pPr>
              <w:pStyle w:val="TableContents"/>
              <w:bidi w:val="0"/>
              <w:spacing w:lineRule="auto" w:line="328" w:before="0" w:after="160"/>
              <w:ind w:left="0" w:right="0" w:hanging="0"/>
              <w:jc w:val="center"/>
              <w:rPr/>
            </w:pPr>
            <w:r>
              <w:rPr/>
              <w:t>​</w:t>
            </w:r>
          </w:p>
        </w:tc>
        <w:tc>
          <w:tcPr>
            <w:tcW w:w="58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19,140</w:t>
            </w:r>
          </w:p>
        </w:tc>
        <w:tc>
          <w:tcPr>
            <w:tcW w:w="346" w:type="dxa"/>
            <w:tcBorders/>
            <w:vAlign w:val="center"/>
          </w:tcPr>
          <w:p>
            <w:pPr>
              <w:pStyle w:val="TableContents"/>
              <w:bidi w:val="0"/>
              <w:spacing w:lineRule="auto" w:line="328" w:before="0" w:after="160"/>
              <w:ind w:left="0" w:right="0" w:hanging="0"/>
              <w:jc w:val="right"/>
              <w:rPr/>
            </w:pPr>
            <w:r>
              <w:rPr/>
              <w:t>​</w:t>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345</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4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345</w:t>
            </w:r>
          </w:p>
        </w:tc>
      </w:tr>
      <w:tr>
        <w:trPr/>
        <w:tc>
          <w:tcPr>
            <w:tcW w:w="1059"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Total</w:t>
            </w:r>
            <w:r>
              <w:rPr>
                <w:rFonts w:ascii="Aptos" w:hAnsi="Aptos"/>
                <w:color w:val="231F20"/>
                <w:spacing w:val="-5"/>
                <w:sz w:val="12"/>
              </w:rPr>
              <w:t xml:space="preserve"> </w:t>
            </w:r>
            <w:r>
              <w:rPr>
                <w:rFonts w:ascii="Times New Roman;Times;serif" w:hAnsi="Times New Roman;Times;serif"/>
                <w:b/>
                <w:color w:val="231F20"/>
                <w:sz w:val="12"/>
              </w:rPr>
              <w:t>Application</w:t>
            </w:r>
            <w:r>
              <w:rPr>
                <w:rFonts w:ascii="Aptos" w:hAnsi="Aptos"/>
                <w:color w:val="231F20"/>
                <w:spacing w:val="-4"/>
                <w:sz w:val="12"/>
              </w:rPr>
              <w:t xml:space="preserve"> </w:t>
            </w:r>
            <w:r>
              <w:rPr>
                <w:rFonts w:ascii="Times New Roman;Times;serif" w:hAnsi="Times New Roman;Times;serif"/>
                <w:b/>
                <w:color w:val="231F20"/>
                <w:sz w:val="12"/>
              </w:rPr>
              <w:t>Software</w:t>
            </w:r>
            <w:r>
              <w:rPr>
                <w:rFonts w:ascii="Aptos" w:hAnsi="Aptos"/>
                <w:color w:val="231F20"/>
                <w:spacing w:val="-1"/>
                <w:sz w:val="12"/>
              </w:rPr>
              <w:t xml:space="preserve"> </w:t>
            </w:r>
            <w:r>
              <w:rPr>
                <w:rFonts w:ascii="Aptos" w:hAnsi="Aptos"/>
                <w:color w:val="231F20"/>
                <w:sz w:val="12"/>
              </w:rPr>
              <w:t>–</w:t>
            </w:r>
            <w:r>
              <w:rPr>
                <w:rFonts w:ascii="Aptos" w:hAnsi="Aptos"/>
                <w:color w:val="231F20"/>
                <w:spacing w:val="-2"/>
                <w:sz w:val="12"/>
              </w:rPr>
              <w:t xml:space="preserve"> </w:t>
            </w:r>
            <w:r>
              <w:rPr>
                <w:rFonts w:ascii="Times New Roman;Times;serif" w:hAnsi="Times New Roman;Times;serif"/>
                <w:b/>
                <w:color w:val="231F20"/>
                <w:sz w:val="12"/>
              </w:rPr>
              <w:t>0.92%*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328" w:before="0" w:after="160"/>
              <w:ind w:left="0" w:right="0" w:hanging="0"/>
              <w:jc w:val="left"/>
              <w:rPr/>
            </w:pPr>
            <w:r>
              <w:rPr/>
              <w:t>​</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85"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84"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3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7,159</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4,652</w:t>
            </w:r>
          </w:p>
        </w:tc>
      </w:tr>
      <w:tr>
        <w:trPr/>
        <w:tc>
          <w:tcPr>
            <w:tcW w:w="1059"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Asset</w:t>
            </w:r>
            <w:r>
              <w:rPr>
                <w:rFonts w:ascii="Aptos" w:hAnsi="Aptos"/>
                <w:color w:val="231F20"/>
                <w:spacing w:val="-7"/>
                <w:sz w:val="12"/>
              </w:rPr>
              <w:t xml:space="preserve"> </w:t>
            </w:r>
            <w:r>
              <w:rPr>
                <w:rFonts w:ascii="Times New Roman;Times;serif" w:hAnsi="Times New Roman;Times;serif"/>
                <w:b/>
                <w:color w:val="231F20"/>
                <w:sz w:val="12"/>
              </w:rPr>
              <w:t>Management</w:t>
            </w:r>
            <w:r>
              <w:rPr>
                <w:rFonts w:ascii="Aptos" w:hAnsi="Aptos"/>
                <w:color w:val="231F20"/>
                <w:spacing w:val="-6"/>
                <w:sz w:val="12"/>
              </w:rPr>
              <w:t xml:space="preserve"> </w:t>
            </w:r>
            <w:r>
              <w:rPr>
                <w:rFonts w:ascii="Times New Roman;Times;serif" w:hAnsi="Times New Roman;Times;serif"/>
                <w:b/>
                <w:color w:val="231F20"/>
                <w:sz w:val="12"/>
              </w:rPr>
              <w:t>&amp;</w:t>
            </w:r>
            <w:r>
              <w:rPr>
                <w:rFonts w:ascii="Aptos" w:hAnsi="Aptos"/>
                <w:color w:val="231F20"/>
                <w:spacing w:val="-6"/>
                <w:sz w:val="12"/>
              </w:rPr>
              <w:t xml:space="preserve"> </w:t>
            </w:r>
            <w:r>
              <w:rPr>
                <w:rFonts w:ascii="Times New Roman;Times;serif" w:hAnsi="Times New Roman;Times;serif"/>
                <w:b/>
                <w:color w:val="231F20"/>
                <w:sz w:val="12"/>
              </w:rPr>
              <w:t>Custody</w:t>
            </w:r>
            <w:r>
              <w:rPr>
                <w:rFonts w:ascii="Aptos" w:hAnsi="Aptos"/>
                <w:color w:val="231F20"/>
                <w:spacing w:val="-6"/>
                <w:sz w:val="12"/>
              </w:rPr>
              <w:t xml:space="preserve"> </w:t>
            </w:r>
            <w:r>
              <w:rPr>
                <w:rFonts w:ascii="Times New Roman;Times;serif" w:hAnsi="Times New Roman;Times;serif"/>
                <w:b/>
                <w:color w:val="231F20"/>
                <w:spacing w:val="-2"/>
                <w:sz w:val="12"/>
              </w:rPr>
              <w:t>Banks</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328" w:before="0" w:after="160"/>
              <w:ind w:left="0" w:right="0" w:hanging="0"/>
              <w:jc w:val="left"/>
              <w:rPr/>
            </w:pPr>
            <w:r>
              <w:rPr/>
              <w:t>​</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5"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4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73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1059"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Betterment</w:t>
            </w:r>
            <w:r>
              <w:rPr>
                <w:rFonts w:ascii="Aptos" w:hAnsi="Aptos"/>
                <w:color w:val="231F20"/>
                <w:spacing w:val="-3"/>
                <w:sz w:val="12"/>
              </w:rPr>
              <w:t xml:space="preserve"> </w:t>
            </w:r>
            <w:r>
              <w:rPr>
                <w:rFonts w:ascii="Times New Roman;Times;serif" w:hAnsi="Times New Roman;Times;serif"/>
                <w:color w:val="231F20"/>
                <w:sz w:val="12"/>
              </w:rPr>
              <w:t>Holdings,</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450 West 33rd Street</w:t>
            </w:r>
            <w:r>
              <w:rPr>
                <w:rFonts w:ascii="Aptos" w:hAnsi="Aptos"/>
                <w:color w:val="231F20"/>
                <w:spacing w:val="40"/>
                <w:sz w:val="12"/>
              </w:rPr>
              <w:t xml:space="preserve"> </w:t>
            </w:r>
            <w:r>
              <w:rPr>
                <w:rFonts w:ascii="Times New Roman;Times;serif" w:hAnsi="Times New Roman;Times;serif"/>
                <w:color w:val="231F20"/>
                <w:spacing w:val="-2"/>
                <w:sz w:val="12"/>
              </w:rPr>
              <w:t>Eleventh</w:t>
            </w:r>
            <w:r>
              <w:rPr>
                <w:rFonts w:ascii="Aptos" w:hAnsi="Aptos"/>
                <w:color w:val="231F20"/>
                <w:spacing w:val="-7"/>
                <w:sz w:val="12"/>
              </w:rPr>
              <w:t xml:space="preserve"> </w:t>
            </w:r>
            <w:r>
              <w:rPr>
                <w:rFonts w:ascii="Times New Roman;Times;serif" w:hAnsi="Times New Roman;Times;serif"/>
                <w:color w:val="231F20"/>
                <w:spacing w:val="-2"/>
                <w:sz w:val="12"/>
              </w:rPr>
              <w:t>Floor</w:t>
            </w:r>
            <w:r>
              <w:rPr>
                <w:rFonts w:ascii="Aptos" w:hAnsi="Aptos"/>
                <w:color w:val="231F20"/>
                <w:spacing w:val="-6"/>
                <w:sz w:val="12"/>
              </w:rPr>
              <w:t xml:space="preserve"> </w:t>
            </w:r>
            <w:r>
              <w:rPr>
                <w:rFonts w:ascii="Times New Roman;Times;serif" w:hAnsi="Times New Roman;Times;serif"/>
                <w:color w:val="231F20"/>
                <w:spacing w:val="-2"/>
                <w:sz w:val="12"/>
              </w:rPr>
              <w:t>New</w:t>
            </w:r>
            <w:r>
              <w:rPr>
                <w:rFonts w:ascii="Aptos" w:hAnsi="Aptos"/>
                <w:color w:val="231F20"/>
                <w:spacing w:val="-6"/>
                <w:sz w:val="12"/>
              </w:rPr>
              <w:t xml:space="preserve"> </w:t>
            </w:r>
            <w:r>
              <w:rPr>
                <w:rFonts w:ascii="Times New Roman;Times;serif" w:hAnsi="Times New Roman;Times;serif"/>
                <w:color w:val="231F20"/>
                <w:spacing w:val="-2"/>
                <w:sz w:val="12"/>
              </w:rPr>
              <w:t>York,</w:t>
            </w:r>
            <w:r>
              <w:rPr>
                <w:rFonts w:ascii="Aptos" w:hAnsi="Aptos"/>
                <w:color w:val="231F20"/>
                <w:spacing w:val="40"/>
                <w:sz w:val="12"/>
              </w:rPr>
              <w:t xml:space="preserve"> </w:t>
            </w:r>
            <w:r>
              <w:rPr>
                <w:rFonts w:ascii="Times New Roman;Times;serif" w:hAnsi="Times New Roman;Times;serif"/>
                <w:color w:val="231F20"/>
                <w:sz w:val="12"/>
              </w:rPr>
              <w:t>NY 10001 United States</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10/6/2033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7,680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35</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63</w:t>
            </w:r>
          </w:p>
        </w:tc>
      </w:tr>
      <w:tr>
        <w:trPr/>
        <w:tc>
          <w:tcPr>
            <w:tcW w:w="105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328" w:before="0" w:after="160"/>
              <w:ind w:left="0" w:right="0" w:hanging="0"/>
              <w:jc w:val="left"/>
              <w:rPr/>
            </w:pPr>
            <w:r>
              <w:rPr/>
              <w:t>​</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10/6/2033</w:t>
            </w:r>
          </w:p>
        </w:tc>
        <w:tc>
          <w:tcPr>
            <w:tcW w:w="346" w:type="dxa"/>
            <w:tcBorders/>
            <w:vAlign w:val="center"/>
          </w:tcPr>
          <w:p>
            <w:pPr>
              <w:pStyle w:val="TableContents"/>
              <w:bidi w:val="0"/>
              <w:spacing w:lineRule="auto" w:line="328" w:before="0" w:after="160"/>
              <w:ind w:left="0" w:right="0" w:hanging="0"/>
              <w:jc w:val="left"/>
              <w:rPr/>
            </w:pPr>
            <w:r>
              <w:rPr/>
              <w:t>​</w:t>
            </w:r>
          </w:p>
        </w:tc>
        <w:tc>
          <w:tcPr>
            <w:tcW w:w="58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9,818</w:t>
            </w:r>
          </w:p>
        </w:tc>
        <w:tc>
          <w:tcPr>
            <w:tcW w:w="346" w:type="dxa"/>
            <w:tcBorders/>
            <w:vAlign w:val="center"/>
          </w:tcPr>
          <w:p>
            <w:pPr>
              <w:pStyle w:val="TableContents"/>
              <w:bidi w:val="0"/>
              <w:spacing w:lineRule="auto" w:line="328" w:before="0" w:after="160"/>
              <w:ind w:left="0" w:right="0" w:hanging="0"/>
              <w:jc w:val="left"/>
              <w:rPr/>
            </w:pPr>
            <w:r>
              <w:rPr/>
              <w:t>​</w:t>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40</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4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74</w:t>
            </w:r>
          </w:p>
        </w:tc>
      </w:tr>
      <w:tr>
        <w:trPr/>
        <w:tc>
          <w:tcPr>
            <w:tcW w:w="1059" w:type="dxa"/>
            <w:tcBorders/>
            <w:shd w:fill="CCEEFF" w:val="clear"/>
            <w:vAlign w:val="center"/>
          </w:tcPr>
          <w:p>
            <w:pPr>
              <w:pStyle w:val="TableContents"/>
              <w:bidi w:val="0"/>
              <w:spacing w:lineRule="auto" w:line="285" w:before="0" w:after="0"/>
              <w:ind w:left="115"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10"/>
                <w:sz w:val="12"/>
              </w:rPr>
              <w:t xml:space="preserve"> </w:t>
            </w:r>
            <w:r>
              <w:rPr>
                <w:rFonts w:ascii="Times New Roman;Times;serif" w:hAnsi="Times New Roman;Times;serif"/>
                <w:b/>
                <w:color w:val="231F20"/>
                <w:sz w:val="12"/>
              </w:rPr>
              <w:t>Asset</w:t>
            </w:r>
            <w:r>
              <w:rPr>
                <w:rFonts w:ascii="Times NR MT Pro" w:hAnsi="Times NR MT Pro"/>
                <w:color w:val="231F20"/>
                <w:spacing w:val="-7"/>
                <w:sz w:val="12"/>
              </w:rPr>
              <w:t xml:space="preserve"> </w:t>
            </w:r>
            <w:r>
              <w:rPr>
                <w:rFonts w:ascii="Times New Roman;Times;serif" w:hAnsi="Times New Roman;Times;serif"/>
                <w:b/>
                <w:color w:val="231F20"/>
                <w:sz w:val="12"/>
              </w:rPr>
              <w:t>Management</w:t>
            </w:r>
            <w:r>
              <w:rPr>
                <w:rFonts w:ascii="Times NR MT Pro" w:hAnsi="Times NR MT Pro"/>
                <w:color w:val="231F20"/>
                <w:spacing w:val="-7"/>
                <w:sz w:val="12"/>
              </w:rPr>
              <w:t xml:space="preserve"> </w:t>
            </w:r>
            <w:r>
              <w:rPr>
                <w:rFonts w:ascii="Times New Roman;Times;serif" w:hAnsi="Times New Roman;Times;serif"/>
                <w:b/>
                <w:color w:val="231F20"/>
                <w:sz w:val="12"/>
              </w:rPr>
              <w:t>&amp;</w:t>
            </w:r>
            <w:r>
              <w:rPr>
                <w:rFonts w:ascii="Times NR MT Pro" w:hAnsi="Times NR MT Pro"/>
                <w:color w:val="231F20"/>
                <w:spacing w:val="-7"/>
                <w:sz w:val="12"/>
              </w:rPr>
              <w:t xml:space="preserve"> </w:t>
            </w:r>
            <w:r>
              <w:rPr>
                <w:rFonts w:ascii="Times New Roman;Times;serif" w:hAnsi="Times New Roman;Times;serif"/>
                <w:b/>
                <w:color w:val="231F20"/>
                <w:spacing w:val="-2"/>
                <w:sz w:val="12"/>
              </w:rPr>
              <w:t>Custody</w:t>
            </w:r>
          </w:p>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Banks</w:t>
            </w:r>
            <w:r>
              <w:rPr>
                <w:rFonts w:ascii="Aptos" w:hAnsi="Aptos"/>
                <w:color w:val="231F20"/>
                <w:spacing w:val="1"/>
                <w:sz w:val="12"/>
              </w:rPr>
              <w:t xml:space="preserve"> </w:t>
            </w:r>
            <w:r>
              <w:rPr>
                <w:rFonts w:ascii="Aptos" w:hAnsi="Aptos"/>
                <w:color w:val="231F20"/>
                <w:sz w:val="12"/>
              </w:rPr>
              <w:t>–</w:t>
            </w:r>
            <w:r>
              <w:rPr>
                <w:rFonts w:ascii="Aptos" w:hAnsi="Aptos"/>
                <w:color w:val="231F20"/>
                <w:spacing w:val="2"/>
                <w:sz w:val="12"/>
              </w:rPr>
              <w:t xml:space="preserve"> </w:t>
            </w:r>
            <w:r>
              <w:rPr>
                <w:rFonts w:ascii="Times New Roman;Times;serif" w:hAnsi="Times New Roman;Times;serif"/>
                <w:b/>
                <w:color w:val="231F20"/>
                <w:sz w:val="12"/>
              </w:rPr>
              <w:t>0.03%*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328" w:before="0" w:after="160"/>
              <w:ind w:left="0" w:right="0" w:hanging="0"/>
              <w:jc w:val="left"/>
              <w:rPr/>
            </w:pPr>
            <w:r>
              <w:rPr/>
              <w:t>​</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5"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3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3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75</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137</w:t>
            </w:r>
          </w:p>
        </w:tc>
      </w:tr>
      <w:tr>
        <w:trPr/>
        <w:tc>
          <w:tcPr>
            <w:tcW w:w="1059" w:type="dxa"/>
            <w:tcBorders/>
            <w:vAlign w:val="center"/>
          </w:tcPr>
          <w:p>
            <w:pPr>
              <w:pStyle w:val="TableContents"/>
              <w:bidi w:val="0"/>
              <w:spacing w:lineRule="auto" w:line="285" w:before="0" w:after="0"/>
              <w:ind w:left="0" w:right="0" w:hanging="0"/>
              <w:jc w:val="left"/>
              <w:rPr>
                <w:rFonts w:ascii="Times New Roman;Times;serif" w:hAnsi="Times New Roman;Times;serif"/>
                <w:b/>
                <w:color w:val="231F20"/>
                <w:spacing w:val="-2"/>
                <w:sz w:val="12"/>
              </w:rPr>
            </w:pPr>
            <w:r>
              <w:rPr>
                <w:rFonts w:ascii="Times New Roman;Times;serif" w:hAnsi="Times New Roman;Times;serif"/>
                <w:b/>
                <w:color w:val="231F20"/>
                <w:spacing w:val="-2"/>
                <w:sz w:val="12"/>
              </w:rPr>
              <w:t>Biotechnology</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328" w:before="0" w:after="160"/>
              <w:ind w:left="0" w:right="0" w:hanging="0"/>
              <w:jc w:val="left"/>
              <w:rPr/>
            </w:pPr>
            <w:r>
              <w:rPr/>
              <w:t>​</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5"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4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73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1059"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Mustang</w:t>
            </w:r>
            <w:r>
              <w:rPr>
                <w:rFonts w:ascii="Aptos" w:hAnsi="Aptos"/>
                <w:color w:val="231F20"/>
                <w:spacing w:val="-2"/>
                <w:sz w:val="12"/>
              </w:rPr>
              <w:t xml:space="preserve"> </w:t>
            </w:r>
            <w:r>
              <w:rPr>
                <w:rFonts w:ascii="Times New Roman;Times;serif" w:hAnsi="Times New Roman;Times;serif"/>
                <w:color w:val="231F20"/>
                <w:sz w:val="12"/>
              </w:rPr>
              <w:t>Bio,</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377</w:t>
            </w:r>
            <w:r>
              <w:rPr>
                <w:rFonts w:ascii="Times NR MT Pro" w:hAnsi="Times NR MT Pro"/>
                <w:color w:val="231F20"/>
                <w:spacing w:val="-7"/>
                <w:sz w:val="12"/>
              </w:rPr>
              <w:t xml:space="preserve"> </w:t>
            </w:r>
            <w:r>
              <w:rPr>
                <w:rFonts w:ascii="Times New Roman;Times;serif" w:hAnsi="Times New Roman;Times;serif"/>
                <w:color w:val="231F20"/>
                <w:sz w:val="12"/>
              </w:rPr>
              <w:t>Plantation</w:t>
            </w:r>
            <w:r>
              <w:rPr>
                <w:rFonts w:ascii="Times NR MT Pro" w:hAnsi="Times NR MT Pro"/>
                <w:color w:val="231F20"/>
                <w:spacing w:val="-7"/>
                <w:sz w:val="12"/>
              </w:rPr>
              <w:t xml:space="preserve"> </w:t>
            </w:r>
            <w:r>
              <w:rPr>
                <w:rFonts w:ascii="Times New Roman;Times;serif" w:hAnsi="Times New Roman;Times;serif"/>
                <w:color w:val="231F20"/>
                <w:spacing w:val="-2"/>
                <w:sz w:val="12"/>
              </w:rPr>
              <w:t>Street Worcester,</w:t>
            </w:r>
            <w:r>
              <w:rPr>
                <w:rFonts w:ascii="Times NR MT Pro" w:hAnsi="Times NR MT Pro"/>
                <w:color w:val="231F20"/>
                <w:spacing w:val="-7"/>
                <w:sz w:val="12"/>
              </w:rPr>
              <w:t xml:space="preserve"> </w:t>
            </w:r>
            <w:r>
              <w:rPr>
                <w:rFonts w:ascii="Times New Roman;Times;serif" w:hAnsi="Times New Roman;Times;serif"/>
                <w:color w:val="231F20"/>
                <w:spacing w:val="-2"/>
                <w:sz w:val="12"/>
              </w:rPr>
              <w:t>MA</w:t>
            </w:r>
            <w:r>
              <w:rPr>
                <w:rFonts w:ascii="Times NR MT Pro" w:hAnsi="Times NR MT Pro"/>
                <w:color w:val="231F20"/>
                <w:spacing w:val="-6"/>
                <w:sz w:val="12"/>
              </w:rPr>
              <w:t xml:space="preserve"> </w:t>
            </w:r>
            <w:r>
              <w:rPr>
                <w:rFonts w:ascii="Times New Roman;Times;serif" w:hAnsi="Times New Roman;Times;serif"/>
                <w:color w:val="231F20"/>
                <w:spacing w:val="-2"/>
                <w:sz w:val="12"/>
              </w:rPr>
              <w:t>01605</w:t>
            </w:r>
            <w:r>
              <w:rPr>
                <w:rFonts w:ascii="Times NR MT Pro" w:hAnsi="Times NR MT Pro"/>
                <w:color w:val="231F20"/>
                <w:spacing w:val="40"/>
                <w:sz w:val="12"/>
              </w:rPr>
              <w:t xml:space="preserve"> </w:t>
            </w:r>
            <w:r>
              <w:rPr>
                <w:rFonts w:ascii="Times New Roman;Times;serif" w:hAnsi="Times New Roman;Times;serif"/>
                <w:color w:val="231F20"/>
                <w:sz w:val="12"/>
              </w:rPr>
              <w:t>United</w:t>
            </w:r>
            <w:r>
              <w:rPr>
                <w:rFonts w:ascii="Times NR MT Pro" w:hAnsi="Times NR MT Pro"/>
                <w:color w:val="231F20"/>
                <w:spacing w:val="-9"/>
                <w:sz w:val="12"/>
              </w:rPr>
              <w:t xml:space="preserve"> </w:t>
            </w:r>
            <w:r>
              <w:rPr>
                <w:rFonts w:ascii="Times New Roman;Times;serif" w:hAnsi="Times New Roman;Times;serif"/>
                <w:color w:val="231F20"/>
                <w:sz w:val="12"/>
              </w:rPr>
              <w:t>States</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3/4/2032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49,869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315</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10"/>
                <w:sz w:val="12"/>
              </w:rPr>
            </w:pPr>
            <w:r>
              <w:rPr>
                <w:rFonts w:ascii="Times New Roman;Times;serif" w:hAnsi="Times New Roman;Times;serif"/>
                <w:color w:val="231F20"/>
                <w:spacing w:val="-10"/>
                <w:sz w:val="12"/>
              </w:rPr>
              <w:t>9</w:t>
            </w:r>
          </w:p>
        </w:tc>
      </w:tr>
      <w:tr>
        <w:trPr/>
        <w:tc>
          <w:tcPr>
            <w:tcW w:w="1059"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TRACON</w:t>
            </w:r>
            <w:r>
              <w:rPr>
                <w:rFonts w:ascii="Aptos" w:hAnsi="Aptos"/>
                <w:color w:val="231F20"/>
                <w:spacing w:val="-4"/>
                <w:sz w:val="12"/>
              </w:rPr>
              <w:t xml:space="preserve"> </w:t>
            </w:r>
            <w:r>
              <w:rPr>
                <w:rFonts w:ascii="Times New Roman;Times;serif" w:hAnsi="Times New Roman;Times;serif"/>
                <w:color w:val="231F20"/>
                <w:sz w:val="12"/>
              </w:rPr>
              <w:t>Pharmaceuticals,</w:t>
            </w:r>
            <w:r>
              <w:rPr>
                <w:rFonts w:ascii="Aptos" w:hAnsi="Aptos"/>
                <w:color w:val="231F20"/>
                <w:spacing w:val="-4"/>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4350 La Jolla Village</w:t>
            </w:r>
            <w:r>
              <w:rPr>
                <w:rFonts w:ascii="Aptos" w:hAnsi="Aptos"/>
                <w:color w:val="231F20"/>
                <w:spacing w:val="40"/>
                <w:sz w:val="12"/>
              </w:rPr>
              <w:t xml:space="preserve"> </w:t>
            </w:r>
            <w:r>
              <w:rPr>
                <w:rFonts w:ascii="Times New Roman;Times;serif" w:hAnsi="Times New Roman;Times;serif"/>
                <w:color w:val="231F20"/>
                <w:sz w:val="12"/>
              </w:rPr>
              <w:t>Drive Suite 800 San</w:t>
            </w:r>
            <w:r>
              <w:rPr>
                <w:rFonts w:ascii="Aptos" w:hAnsi="Aptos"/>
                <w:color w:val="231F20"/>
                <w:spacing w:val="40"/>
                <w:sz w:val="12"/>
              </w:rPr>
              <w:t xml:space="preserve"> </w:t>
            </w:r>
            <w:r>
              <w:rPr>
                <w:rFonts w:ascii="Times New Roman;Times;serif" w:hAnsi="Times New Roman;Times;serif"/>
                <w:color w:val="231F20"/>
                <w:sz w:val="12"/>
              </w:rPr>
              <w:t>Diego,</w:t>
            </w:r>
            <w:r>
              <w:rPr>
                <w:rFonts w:ascii="Aptos" w:hAnsi="Aptos"/>
                <w:color w:val="231F20"/>
                <w:spacing w:val="-9"/>
                <w:sz w:val="12"/>
              </w:rPr>
              <w:t xml:space="preserve"> </w:t>
            </w:r>
            <w:r>
              <w:rPr>
                <w:rFonts w:ascii="Times New Roman;Times;serif" w:hAnsi="Times New Roman;Times;serif"/>
                <w:color w:val="231F20"/>
                <w:sz w:val="12"/>
              </w:rPr>
              <w:t>CA</w:t>
            </w:r>
            <w:r>
              <w:rPr>
                <w:rFonts w:ascii="Aptos" w:hAnsi="Aptos"/>
                <w:color w:val="231F20"/>
                <w:spacing w:val="-8"/>
                <w:sz w:val="12"/>
              </w:rPr>
              <w:t xml:space="preserve"> </w:t>
            </w:r>
            <w:r>
              <w:rPr>
                <w:rFonts w:ascii="Times New Roman;Times;serif" w:hAnsi="Times New Roman;Times;serif"/>
                <w:color w:val="231F20"/>
                <w:sz w:val="12"/>
              </w:rPr>
              <w:t>92122</w:t>
            </w:r>
            <w:r>
              <w:rPr>
                <w:rFonts w:ascii="Aptos" w:hAnsi="Aptos"/>
                <w:color w:val="231F20"/>
                <w:spacing w:val="-8"/>
                <w:sz w:val="12"/>
              </w:rPr>
              <w:t xml:space="preserve"> </w:t>
            </w:r>
            <w:r>
              <w:rPr>
                <w:rFonts w:ascii="Times New Roman;Times;serif" w:hAnsi="Times New Roman;Times;serif"/>
                <w:color w:val="231F20"/>
                <w:sz w:val="12"/>
              </w:rPr>
              <w:t>United</w:t>
            </w:r>
            <w:r>
              <w:rPr>
                <w:rFonts w:ascii="Aptos" w:hAnsi="Aptos"/>
                <w:color w:val="231F20"/>
                <w:spacing w:val="40"/>
                <w:sz w:val="12"/>
              </w:rPr>
              <w:t xml:space="preserve"> </w:t>
            </w:r>
            <w:r>
              <w:rPr>
                <w:rFonts w:ascii="Times New Roman;Times;serif" w:hAnsi="Times New Roman;Times;serif"/>
                <w:color w:val="231F20"/>
                <w:spacing w:val="-2"/>
                <w:sz w:val="12"/>
              </w:rPr>
              <w:t>States</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9/2/2032</w:t>
            </w:r>
          </w:p>
        </w:tc>
        <w:tc>
          <w:tcPr>
            <w:tcW w:w="346" w:type="dxa"/>
            <w:tcBorders/>
            <w:vAlign w:val="center"/>
          </w:tcPr>
          <w:p>
            <w:pPr>
              <w:pStyle w:val="TableContents"/>
              <w:bidi w:val="0"/>
              <w:spacing w:lineRule="auto" w:line="328" w:before="0" w:after="160"/>
              <w:ind w:left="0" w:right="0" w:hanging="0"/>
              <w:jc w:val="left"/>
              <w:rPr/>
            </w:pPr>
            <w:r>
              <w:rPr/>
              <w:t>​</w:t>
            </w:r>
          </w:p>
        </w:tc>
        <w:tc>
          <w:tcPr>
            <w:tcW w:w="58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7,538</w:t>
            </w:r>
          </w:p>
        </w:tc>
        <w:tc>
          <w:tcPr>
            <w:tcW w:w="346" w:type="dxa"/>
            <w:tcBorders/>
            <w:vAlign w:val="center"/>
          </w:tcPr>
          <w:p>
            <w:pPr>
              <w:pStyle w:val="TableContents"/>
              <w:bidi w:val="0"/>
              <w:spacing w:lineRule="auto" w:line="328" w:before="0" w:after="160"/>
              <w:ind w:left="0" w:right="0" w:hanging="0"/>
              <w:jc w:val="left"/>
              <w:rPr/>
            </w:pPr>
            <w:r>
              <w:rPr/>
              <w:t>​</w:t>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226</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4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r>
      <w:tr>
        <w:trPr/>
        <w:tc>
          <w:tcPr>
            <w:tcW w:w="1059"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Total</w:t>
            </w:r>
            <w:r>
              <w:rPr>
                <w:rFonts w:ascii="Aptos" w:hAnsi="Aptos"/>
                <w:color w:val="231F20"/>
                <w:spacing w:val="-3"/>
                <w:sz w:val="12"/>
              </w:rPr>
              <w:t xml:space="preserve"> </w:t>
            </w:r>
            <w:r>
              <w:rPr>
                <w:rFonts w:ascii="Times New Roman;Times;serif" w:hAnsi="Times New Roman;Times;serif"/>
                <w:b/>
                <w:color w:val="231F20"/>
                <w:sz w:val="12"/>
              </w:rPr>
              <w:t xml:space="preserve">Biotechnology – 0.00%* </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328" w:before="0" w:after="160"/>
              <w:ind w:left="0" w:right="0" w:hanging="0"/>
              <w:jc w:val="left"/>
              <w:rPr/>
            </w:pPr>
            <w:r>
              <w:rPr/>
              <w:t>​</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5"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3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3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541</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10"/>
                <w:sz w:val="12"/>
              </w:rPr>
            </w:pPr>
            <w:r>
              <w:rPr>
                <w:rFonts w:ascii="Times New Roman;Times;serif" w:hAnsi="Times New Roman;Times;serif"/>
                <w:color w:val="231F20"/>
                <w:spacing w:val="-10"/>
                <w:sz w:val="12"/>
              </w:rPr>
              <w:t>9</w:t>
            </w:r>
          </w:p>
        </w:tc>
      </w:tr>
      <w:tr>
        <w:trPr/>
        <w:tc>
          <w:tcPr>
            <w:tcW w:w="1059"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Computer &amp; Electronics Retail</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328" w:before="0" w:after="160"/>
              <w:ind w:left="0" w:right="0" w:hanging="0"/>
              <w:jc w:val="left"/>
              <w:rPr/>
            </w:pPr>
            <w:r>
              <w:rPr/>
              <w:t>​</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5"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3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1059"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Massdrop,</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115</w:t>
            </w:r>
            <w:r>
              <w:rPr>
                <w:rFonts w:ascii="Times NR MT Pro" w:hAnsi="Times NR MT Pro"/>
                <w:color w:val="231F20"/>
                <w:spacing w:val="-9"/>
                <w:sz w:val="12"/>
              </w:rPr>
              <w:t xml:space="preserve"> </w:t>
            </w:r>
            <w:r>
              <w:rPr>
                <w:rFonts w:ascii="Times New Roman;Times;serif" w:hAnsi="Times New Roman;Times;serif"/>
                <w:color w:val="231F20"/>
                <w:sz w:val="12"/>
              </w:rPr>
              <w:t>North</w:t>
            </w:r>
            <w:r>
              <w:rPr>
                <w:rFonts w:ascii="Times NR MT Pro" w:hAnsi="Times NR MT Pro"/>
                <w:color w:val="231F20"/>
                <w:spacing w:val="-8"/>
                <w:sz w:val="12"/>
              </w:rPr>
              <w:t xml:space="preserve"> </w:t>
            </w:r>
            <w:r>
              <w:rPr>
                <w:rFonts w:ascii="Times New Roman;Times;serif" w:hAnsi="Times New Roman;Times;serif"/>
                <w:color w:val="231F20"/>
                <w:sz w:val="12"/>
              </w:rPr>
              <w:t>McCarthy</w:t>
            </w:r>
            <w:r>
              <w:rPr>
                <w:rFonts w:ascii="Times NR MT Pro" w:hAnsi="Times NR MT Pro"/>
                <w:color w:val="231F20"/>
                <w:spacing w:val="40"/>
                <w:sz w:val="12"/>
              </w:rPr>
              <w:t xml:space="preserve"> </w:t>
            </w:r>
            <w:r>
              <w:rPr>
                <w:rFonts w:ascii="Times New Roman;Times;serif" w:hAnsi="Times New Roman;Times;serif"/>
                <w:color w:val="231F20"/>
                <w:sz w:val="12"/>
              </w:rPr>
              <w:t>Boulevard</w:t>
            </w:r>
            <w:r>
              <w:rPr>
                <w:rFonts w:ascii="Times NR MT Pro" w:hAnsi="Times NR MT Pro"/>
                <w:color w:val="231F20"/>
                <w:spacing w:val="-9"/>
                <w:sz w:val="12"/>
              </w:rPr>
              <w:t xml:space="preserve"> </w:t>
            </w:r>
            <w:r>
              <w:rPr>
                <w:rFonts w:ascii="Times New Roman;Times;serif" w:hAnsi="Times New Roman;Times;serif"/>
                <w:color w:val="231F20"/>
                <w:sz w:val="12"/>
              </w:rPr>
              <w:t>Milpitas, CA</w:t>
            </w:r>
            <w:r>
              <w:rPr>
                <w:rFonts w:ascii="Times NR MT Pro" w:hAnsi="Times NR MT Pro"/>
                <w:color w:val="231F20"/>
                <w:spacing w:val="-5"/>
                <w:sz w:val="12"/>
              </w:rPr>
              <w:t xml:space="preserve"> </w:t>
            </w:r>
            <w:r>
              <w:rPr>
                <w:rFonts w:ascii="Times New Roman;Times;serif" w:hAnsi="Times New Roman;Times;serif"/>
                <w:color w:val="231F20"/>
                <w:sz w:val="12"/>
              </w:rPr>
              <w:t>95035</w:t>
            </w:r>
            <w:r>
              <w:rPr>
                <w:rFonts w:ascii="Times NR MT Pro" w:hAnsi="Times NR MT Pro"/>
                <w:color w:val="231F20"/>
                <w:spacing w:val="-4"/>
                <w:sz w:val="12"/>
              </w:rPr>
              <w:t xml:space="preserve"> </w:t>
            </w:r>
            <w:r>
              <w:rPr>
                <w:rFonts w:ascii="Times New Roman;Times;serif" w:hAnsi="Times New Roman;Times;serif"/>
                <w:color w:val="231F20"/>
                <w:sz w:val="12"/>
              </w:rPr>
              <w:t>United</w:t>
            </w:r>
            <w:r>
              <w:rPr>
                <w:rFonts w:ascii="Times NR MT Pro" w:hAnsi="Times NR MT Pro"/>
                <w:color w:val="231F20"/>
                <w:spacing w:val="-4"/>
                <w:sz w:val="12"/>
              </w:rPr>
              <w:t xml:space="preserve"> </w:t>
            </w:r>
            <w:r>
              <w:rPr>
                <w:rFonts w:ascii="Times New Roman;Times;serif" w:hAnsi="Times New Roman;Times;serif"/>
                <w:color w:val="231F20"/>
                <w:spacing w:val="-2"/>
                <w:sz w:val="12"/>
              </w:rPr>
              <w:t>States</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B</w:t>
            </w:r>
            <w:r>
              <w:rPr>
                <w:rFonts w:ascii="Aptos" w:hAnsi="Aptos"/>
                <w:color w:val="231F20"/>
                <w:spacing w:val="-5"/>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7/22/2029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848,093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183</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4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r>
      <w:tr>
        <w:trPr/>
        <w:tc>
          <w:tcPr>
            <w:tcW w:w="1059" w:type="dxa"/>
            <w:tcBorders/>
            <w:vAlign w:val="center"/>
          </w:tcPr>
          <w:p>
            <w:pPr>
              <w:pStyle w:val="TableContents"/>
              <w:bidi w:val="0"/>
              <w:spacing w:lineRule="auto" w:line="285" w:before="0" w:after="0"/>
              <w:ind w:left="115"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8"/>
                <w:sz w:val="12"/>
              </w:rPr>
              <w:t xml:space="preserve"> </w:t>
            </w:r>
            <w:r>
              <w:rPr>
                <w:rFonts w:ascii="Times New Roman;Times;serif" w:hAnsi="Times New Roman;Times;serif"/>
                <w:b/>
                <w:color w:val="231F20"/>
                <w:sz w:val="12"/>
              </w:rPr>
              <w:t>Computer</w:t>
            </w:r>
            <w:r>
              <w:rPr>
                <w:rFonts w:ascii="Times NR MT Pro" w:hAnsi="Times NR MT Pro"/>
                <w:color w:val="231F20"/>
                <w:spacing w:val="-8"/>
                <w:sz w:val="12"/>
              </w:rPr>
              <w:t xml:space="preserve"> </w:t>
            </w:r>
            <w:r>
              <w:rPr>
                <w:rFonts w:ascii="Times New Roman;Times;serif" w:hAnsi="Times New Roman;Times;serif"/>
                <w:b/>
                <w:color w:val="231F20"/>
                <w:sz w:val="12"/>
              </w:rPr>
              <w:t>&amp;</w:t>
            </w:r>
            <w:r>
              <w:rPr>
                <w:rFonts w:ascii="Times NR MT Pro" w:hAnsi="Times NR MT Pro"/>
                <w:color w:val="231F20"/>
                <w:spacing w:val="-8"/>
                <w:sz w:val="12"/>
              </w:rPr>
              <w:t xml:space="preserve"> </w:t>
            </w:r>
            <w:r>
              <w:rPr>
                <w:rFonts w:ascii="Times New Roman;Times;serif" w:hAnsi="Times New Roman;Times;serif"/>
                <w:b/>
                <w:color w:val="231F20"/>
                <w:spacing w:val="-2"/>
                <w:sz w:val="12"/>
              </w:rPr>
              <w:t>Electronics</w:t>
            </w:r>
          </w:p>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Retail</w:t>
            </w:r>
            <w:r>
              <w:rPr>
                <w:rFonts w:ascii="Aptos" w:hAnsi="Aptos"/>
                <w:color w:val="231F20"/>
                <w:spacing w:val="1"/>
                <w:sz w:val="12"/>
              </w:rPr>
              <w:t xml:space="preserve"> </w:t>
            </w:r>
            <w:r>
              <w:rPr>
                <w:rFonts w:ascii="Aptos" w:hAnsi="Aptos"/>
                <w:color w:val="231F20"/>
                <w:sz w:val="12"/>
              </w:rPr>
              <w:t>–</w:t>
            </w:r>
            <w:r>
              <w:rPr>
                <w:rFonts w:ascii="Aptos" w:hAnsi="Aptos"/>
                <w:color w:val="231F20"/>
                <w:spacing w:val="1"/>
                <w:sz w:val="12"/>
              </w:rPr>
              <w:t xml:space="preserve"> </w:t>
            </w:r>
            <w:r>
              <w:rPr>
                <w:rFonts w:ascii="Times New Roman;Times;serif" w:hAnsi="Times New Roman;Times;serif"/>
                <w:b/>
                <w:color w:val="231F20"/>
                <w:sz w:val="12"/>
              </w:rPr>
              <w:t>0.00%*</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328" w:before="0" w:after="160"/>
              <w:ind w:left="0" w:right="0" w:hanging="0"/>
              <w:jc w:val="left"/>
              <w:rPr/>
            </w:pPr>
            <w:r>
              <w:rPr/>
              <w:t>​</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5"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4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73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183</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r>
      <w:tr>
        <w:trPr/>
        <w:tc>
          <w:tcPr>
            <w:tcW w:w="105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color w:val="231F20"/>
                <w:sz w:val="12"/>
              </w:rPr>
            </w:pPr>
            <w:r>
              <w:rPr>
                <w:rFonts w:ascii="Times New Roman;Times;serif" w:hAnsi="Times New Roman;Times;serif"/>
                <w:b/>
                <w:color w:val="231F20"/>
                <w:sz w:val="12"/>
              </w:rPr>
              <w:t>Data Processing &amp; Outsourced Services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328" w:before="0" w:after="160"/>
              <w:ind w:left="0" w:right="0" w:hanging="0"/>
              <w:jc w:val="left"/>
              <w:rPr/>
            </w:pPr>
            <w:r>
              <w:rPr/>
              <w:t>​</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85"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84"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3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color w:val="231F20"/>
                <w:spacing w:val="-10"/>
              </w:rPr>
            </w:pPr>
            <w:r>
              <w:rPr>
                <w:color w:val="231F20"/>
                <w:spacing w:val="-10"/>
              </w:rPr>
              <w:t>​</w:t>
            </w:r>
          </w:p>
        </w:tc>
      </w:tr>
      <w:tr>
        <w:trPr/>
        <w:tc>
          <w:tcPr>
            <w:tcW w:w="1059"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Elevate</w:t>
            </w:r>
            <w:r>
              <w:rPr>
                <w:rFonts w:ascii="Aptos" w:hAnsi="Aptos"/>
                <w:color w:val="231F20"/>
                <w:spacing w:val="-3"/>
                <w:sz w:val="12"/>
              </w:rPr>
              <w:t xml:space="preserve"> </w:t>
            </w:r>
            <w:r>
              <w:rPr>
                <w:rFonts w:ascii="Times New Roman;Times;serif" w:hAnsi="Times New Roman;Times;serif"/>
                <w:color w:val="231F20"/>
                <w:sz w:val="12"/>
              </w:rPr>
              <w:t>Services,</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2375 East Camelback</w:t>
            </w:r>
            <w:r>
              <w:rPr>
                <w:rFonts w:ascii="Aptos" w:hAnsi="Aptos"/>
                <w:color w:val="231F20"/>
                <w:spacing w:val="40"/>
                <w:sz w:val="12"/>
              </w:rPr>
              <w:t xml:space="preserve"> </w:t>
            </w:r>
            <w:r>
              <w:rPr>
                <w:rFonts w:ascii="Times New Roman;Times;serif" w:hAnsi="Times New Roman;Times;serif"/>
                <w:color w:val="231F20"/>
                <w:sz w:val="12"/>
              </w:rPr>
              <w:t>Road</w:t>
            </w:r>
            <w:r>
              <w:rPr>
                <w:rFonts w:ascii="Aptos" w:hAnsi="Aptos"/>
                <w:color w:val="231F20"/>
                <w:spacing w:val="-9"/>
                <w:sz w:val="12"/>
              </w:rPr>
              <w:t xml:space="preserve"> </w:t>
            </w:r>
            <w:r>
              <w:rPr>
                <w:rFonts w:ascii="Times New Roman;Times;serif" w:hAnsi="Times New Roman;Times;serif"/>
                <w:color w:val="231F20"/>
                <w:sz w:val="12"/>
              </w:rPr>
              <w:t>Suite</w:t>
            </w:r>
            <w:r>
              <w:rPr>
                <w:rFonts w:ascii="Aptos" w:hAnsi="Aptos"/>
                <w:color w:val="231F20"/>
                <w:spacing w:val="-8"/>
                <w:sz w:val="12"/>
              </w:rPr>
              <w:t xml:space="preserve"> </w:t>
            </w:r>
            <w:r>
              <w:rPr>
                <w:rFonts w:ascii="Times New Roman;Times;serif" w:hAnsi="Times New Roman;Times;serif"/>
                <w:color w:val="231F20"/>
                <w:sz w:val="12"/>
              </w:rPr>
              <w:t>690</w:t>
            </w:r>
            <w:r>
              <w:rPr>
                <w:rFonts w:ascii="Aptos" w:hAnsi="Aptos"/>
                <w:color w:val="231F20"/>
                <w:spacing w:val="-8"/>
                <w:sz w:val="12"/>
              </w:rPr>
              <w:t xml:space="preserve"> </w:t>
            </w:r>
            <w:r>
              <w:rPr>
                <w:rFonts w:ascii="Times New Roman;Times;serif" w:hAnsi="Times New Roman;Times;serif"/>
                <w:color w:val="231F20"/>
                <w:sz w:val="12"/>
              </w:rPr>
              <w:t>Phoenix,</w:t>
            </w:r>
            <w:r>
              <w:rPr>
                <w:rFonts w:ascii="Aptos" w:hAnsi="Aptos"/>
                <w:color w:val="231F20"/>
                <w:spacing w:val="40"/>
                <w:sz w:val="12"/>
              </w:rPr>
              <w:t xml:space="preserve"> </w:t>
            </w:r>
            <w:r>
              <w:rPr>
                <w:rFonts w:ascii="Times New Roman;Times;serif" w:hAnsi="Times New Roman;Times;serif"/>
                <w:color w:val="231F20"/>
                <w:sz w:val="12"/>
              </w:rPr>
              <w:t>AZ</w:t>
            </w:r>
            <w:r>
              <w:rPr>
                <w:rFonts w:ascii="Aptos" w:hAnsi="Aptos"/>
                <w:color w:val="231F20"/>
                <w:spacing w:val="-4"/>
                <w:sz w:val="12"/>
              </w:rPr>
              <w:t xml:space="preserve"> </w:t>
            </w:r>
            <w:r>
              <w:rPr>
                <w:rFonts w:ascii="Times New Roman;Times;serif" w:hAnsi="Times New Roman;Times;serif"/>
                <w:color w:val="231F20"/>
                <w:sz w:val="12"/>
              </w:rPr>
              <w:t>85016</w:t>
            </w:r>
            <w:r>
              <w:rPr>
                <w:rFonts w:ascii="Aptos" w:hAnsi="Aptos"/>
                <w:color w:val="231F20"/>
                <w:spacing w:val="-4"/>
                <w:sz w:val="12"/>
              </w:rPr>
              <w:t xml:space="preserve"> </w:t>
            </w:r>
            <w:r>
              <w:rPr>
                <w:rFonts w:ascii="Times New Roman;Times;serif" w:hAnsi="Times New Roman;Times;serif"/>
                <w:color w:val="231F20"/>
                <w:sz w:val="12"/>
              </w:rPr>
              <w:t>United</w:t>
            </w:r>
            <w:r>
              <w:rPr>
                <w:rFonts w:ascii="Aptos" w:hAnsi="Aptos"/>
                <w:color w:val="231F20"/>
                <w:spacing w:val="-4"/>
                <w:sz w:val="12"/>
              </w:rPr>
              <w:t xml:space="preserve"> </w:t>
            </w:r>
            <w:r>
              <w:rPr>
                <w:rFonts w:ascii="Times New Roman;Times;serif" w:hAnsi="Times New Roman;Times;serif"/>
                <w:color w:val="231F20"/>
                <w:spacing w:val="-2"/>
                <w:sz w:val="12"/>
              </w:rPr>
              <w:t>States</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C</w:t>
            </w:r>
            <w:r>
              <w:rPr>
                <w:rFonts w:ascii="Aptos" w:hAnsi="Aptos"/>
                <w:color w:val="231F20"/>
                <w:spacing w:val="-5"/>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7/10/2033</w:t>
            </w:r>
          </w:p>
        </w:tc>
        <w:tc>
          <w:tcPr>
            <w:tcW w:w="346" w:type="dxa"/>
            <w:tcBorders/>
            <w:vAlign w:val="center"/>
          </w:tcPr>
          <w:p>
            <w:pPr>
              <w:pStyle w:val="TableContents"/>
              <w:bidi w:val="0"/>
              <w:spacing w:lineRule="auto" w:line="328" w:before="0" w:after="160"/>
              <w:ind w:left="0" w:right="0" w:hanging="0"/>
              <w:jc w:val="left"/>
              <w:rPr/>
            </w:pPr>
            <w:r>
              <w:rPr/>
              <w:t>​</w:t>
            </w:r>
          </w:p>
        </w:tc>
        <w:tc>
          <w:tcPr>
            <w:tcW w:w="58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248,997</w:t>
            </w:r>
          </w:p>
        </w:tc>
        <w:tc>
          <w:tcPr>
            <w:tcW w:w="346" w:type="dxa"/>
            <w:tcBorders/>
            <w:vAlign w:val="center"/>
          </w:tcPr>
          <w:p>
            <w:pPr>
              <w:pStyle w:val="TableContents"/>
              <w:bidi w:val="0"/>
              <w:spacing w:lineRule="auto" w:line="328" w:before="0" w:after="160"/>
              <w:ind w:left="0" w:right="0" w:hanging="0"/>
              <w:jc w:val="left"/>
              <w:rPr/>
            </w:pPr>
            <w:r>
              <w:rPr/>
              <w:t>​</w:t>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447</w:t>
            </w:r>
          </w:p>
        </w:tc>
        <w:tc>
          <w:tcPr>
            <w:tcW w:w="346" w:type="dxa"/>
            <w:tcBorders/>
            <w:vAlign w:val="center"/>
          </w:tcPr>
          <w:p>
            <w:pPr>
              <w:pStyle w:val="TableContents"/>
              <w:bidi w:val="0"/>
              <w:spacing w:lineRule="auto" w:line="328" w:before="0" w:after="160"/>
              <w:ind w:left="0" w:right="0" w:hanging="0"/>
              <w:jc w:val="right"/>
              <w:rPr/>
            </w:pPr>
            <w:r>
              <w:rPr/>
              <w:t>​</w:t>
            </w:r>
          </w:p>
        </w:tc>
        <w:tc>
          <w:tcPr>
            <w:tcW w:w="469"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444</w:t>
            </w:r>
          </w:p>
        </w:tc>
      </w:tr>
      <w:tr>
        <w:trPr/>
        <w:tc>
          <w:tcPr>
            <w:tcW w:w="105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328" w:before="0" w:after="160"/>
              <w:ind w:left="0" w:right="0" w:hanging="0"/>
              <w:jc w:val="left"/>
              <w:rPr/>
            </w:pPr>
            <w:r>
              <w:rPr/>
              <w:t>​</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C</w:t>
            </w:r>
            <w:r>
              <w:rPr>
                <w:rFonts w:ascii="Aptos" w:hAnsi="Aptos"/>
                <w:color w:val="231F20"/>
                <w:spacing w:val="-5"/>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7/17/2034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74,700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118</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133</w:t>
            </w:r>
          </w:p>
        </w:tc>
      </w:tr>
      <w:tr>
        <w:trPr/>
        <w:tc>
          <w:tcPr>
            <w:tcW w:w="1059"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Interactions</w:t>
            </w:r>
            <w:r>
              <w:rPr>
                <w:rFonts w:ascii="Aptos" w:hAnsi="Aptos"/>
                <w:color w:val="231F20"/>
                <w:spacing w:val="-3"/>
                <w:sz w:val="12"/>
              </w:rPr>
              <w:t xml:space="preserve"> </w:t>
            </w:r>
            <w:r>
              <w:rPr>
                <w:rFonts w:ascii="Times New Roman;Times;serif" w:hAnsi="Times New Roman;Times;serif"/>
                <w:color w:val="231F20"/>
                <w:sz w:val="12"/>
              </w:rPr>
              <w:t>Corporation</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31</w:t>
            </w:r>
            <w:r>
              <w:rPr>
                <w:rFonts w:ascii="Aptos" w:hAnsi="Aptos"/>
                <w:color w:val="231F20"/>
                <w:spacing w:val="-9"/>
                <w:sz w:val="12"/>
              </w:rPr>
              <w:t xml:space="preserve"> </w:t>
            </w:r>
            <w:r>
              <w:rPr>
                <w:rFonts w:ascii="Times New Roman;Times;serif" w:hAnsi="Times New Roman;Times;serif"/>
                <w:color w:val="231F20"/>
                <w:sz w:val="12"/>
              </w:rPr>
              <w:t>Hayward</w:t>
            </w:r>
            <w:r>
              <w:rPr>
                <w:rFonts w:ascii="Aptos" w:hAnsi="Aptos"/>
                <w:color w:val="231F20"/>
                <w:spacing w:val="-8"/>
                <w:sz w:val="12"/>
              </w:rPr>
              <w:t xml:space="preserve"> </w:t>
            </w:r>
            <w:r>
              <w:rPr>
                <w:rFonts w:ascii="Times New Roman;Times;serif" w:hAnsi="Times New Roman;Times;serif"/>
                <w:color w:val="231F20"/>
                <w:sz w:val="12"/>
              </w:rPr>
              <w:t>Street</w:t>
            </w:r>
            <w:r>
              <w:rPr>
                <w:rFonts w:ascii="Aptos" w:hAnsi="Aptos"/>
                <w:color w:val="231F20"/>
                <w:spacing w:val="-8"/>
                <w:sz w:val="12"/>
              </w:rPr>
              <w:t xml:space="preserve"> </w:t>
            </w:r>
            <w:r>
              <w:rPr>
                <w:rFonts w:ascii="Times New Roman;Times;serif" w:hAnsi="Times New Roman;Times;serif"/>
                <w:color w:val="231F20"/>
                <w:sz w:val="12"/>
              </w:rPr>
              <w:t>Suite</w:t>
            </w:r>
            <w:r>
              <w:rPr>
                <w:rFonts w:ascii="Aptos" w:hAnsi="Aptos"/>
                <w:color w:val="231F20"/>
                <w:spacing w:val="-8"/>
                <w:sz w:val="12"/>
              </w:rPr>
              <w:t xml:space="preserve"> </w:t>
            </w:r>
            <w:r>
              <w:rPr>
                <w:rFonts w:ascii="Times New Roman;Times;serif" w:hAnsi="Times New Roman;Times;serif"/>
                <w:color w:val="231F20"/>
                <w:sz w:val="12"/>
              </w:rPr>
              <w:t>E</w:t>
            </w:r>
            <w:r>
              <w:rPr>
                <w:rFonts w:ascii="Aptos" w:hAnsi="Aptos"/>
                <w:color w:val="231F20"/>
                <w:spacing w:val="40"/>
                <w:sz w:val="12"/>
              </w:rPr>
              <w:t xml:space="preserve"> </w:t>
            </w:r>
            <w:r>
              <w:rPr>
                <w:rFonts w:ascii="Times New Roman;Times;serif" w:hAnsi="Times New Roman;Times;serif"/>
                <w:color w:val="231F20"/>
                <w:sz w:val="12"/>
              </w:rPr>
              <w:t>Franklin, MA 02038</w:t>
            </w:r>
            <w:r>
              <w:rPr>
                <w:rFonts w:ascii="Aptos" w:hAnsi="Aptos"/>
                <w:color w:val="231F20"/>
                <w:spacing w:val="40"/>
                <w:sz w:val="12"/>
              </w:rPr>
              <w:t xml:space="preserve"> </w:t>
            </w:r>
            <w:r>
              <w:rPr>
                <w:rFonts w:ascii="Times New Roman;Times;serif" w:hAnsi="Times New Roman;Times;serif"/>
                <w:color w:val="231F20"/>
                <w:sz w:val="12"/>
              </w:rP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6/24/2032</w:t>
            </w:r>
          </w:p>
        </w:tc>
        <w:tc>
          <w:tcPr>
            <w:tcW w:w="346" w:type="dxa"/>
            <w:tcBorders/>
            <w:vAlign w:val="center"/>
          </w:tcPr>
          <w:p>
            <w:pPr>
              <w:pStyle w:val="TableContents"/>
              <w:bidi w:val="0"/>
              <w:spacing w:lineRule="auto" w:line="328" w:before="0" w:after="160"/>
              <w:ind w:left="0" w:right="0" w:hanging="0"/>
              <w:jc w:val="left"/>
              <w:rPr/>
            </w:pPr>
            <w:r>
              <w:rPr/>
              <w:t>​</w:t>
            </w:r>
          </w:p>
        </w:tc>
        <w:tc>
          <w:tcPr>
            <w:tcW w:w="58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189,408</w:t>
            </w:r>
          </w:p>
        </w:tc>
        <w:tc>
          <w:tcPr>
            <w:tcW w:w="346" w:type="dxa"/>
            <w:tcBorders/>
            <w:vAlign w:val="center"/>
          </w:tcPr>
          <w:p>
            <w:pPr>
              <w:pStyle w:val="TableContents"/>
              <w:bidi w:val="0"/>
              <w:spacing w:lineRule="auto" w:line="328" w:before="0" w:after="160"/>
              <w:ind w:left="0" w:right="0" w:hanging="0"/>
              <w:jc w:val="left"/>
              <w:rPr/>
            </w:pPr>
            <w:r>
              <w:rPr/>
              <w:t>​</w:t>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219</w:t>
            </w:r>
          </w:p>
        </w:tc>
        <w:tc>
          <w:tcPr>
            <w:tcW w:w="346" w:type="dxa"/>
            <w:tcBorders/>
            <w:vAlign w:val="center"/>
          </w:tcPr>
          <w:p>
            <w:pPr>
              <w:pStyle w:val="TableContents"/>
              <w:bidi w:val="0"/>
              <w:spacing w:lineRule="auto" w:line="328" w:before="0" w:after="160"/>
              <w:ind w:left="0" w:right="0" w:hanging="0"/>
              <w:jc w:val="right"/>
              <w:rPr/>
            </w:pPr>
            <w:r>
              <w:rPr/>
              <w:t>​</w:t>
            </w:r>
          </w:p>
        </w:tc>
        <w:tc>
          <w:tcPr>
            <w:tcW w:w="469"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16</w:t>
            </w:r>
          </w:p>
        </w:tc>
      </w:tr>
      <w:tr>
        <w:trPr/>
        <w:tc>
          <w:tcPr>
            <w:tcW w:w="1059"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Predactiv,</w:t>
            </w:r>
            <w:r>
              <w:rPr>
                <w:rFonts w:ascii="Aptos" w:hAnsi="Aptos"/>
                <w:color w:val="231F20"/>
                <w:spacing w:val="-5"/>
                <w:sz w:val="12"/>
              </w:rPr>
              <w:t xml:space="preserve"> </w:t>
            </w:r>
            <w:r>
              <w:rPr>
                <w:rFonts w:ascii="Times New Roman;Times;serif" w:hAnsi="Times New Roman;Times;serif"/>
                <w:color w:val="231F20"/>
                <w:sz w:val="12"/>
              </w:rPr>
              <w:t>Inc.</w:t>
            </w:r>
            <w:r>
              <w:rPr>
                <w:rFonts w:ascii="Aptos" w:hAnsi="Aptos"/>
                <w:color w:val="231F20"/>
                <w:spacing w:val="-4"/>
                <w:sz w:val="12"/>
              </w:rPr>
              <w:t xml:space="preserve"> </w:t>
            </w:r>
            <w:r>
              <w:rPr>
                <w:rFonts w:ascii="Times New Roman;Times;serif" w:hAnsi="Times New Roman;Times;serif"/>
                <w:color w:val="231F20"/>
                <w:sz w:val="12"/>
              </w:rPr>
              <w:t>(fka</w:t>
            </w:r>
            <w:r>
              <w:rPr>
                <w:rFonts w:ascii="Aptos" w:hAnsi="Aptos"/>
                <w:color w:val="231F20"/>
                <w:spacing w:val="-4"/>
                <w:sz w:val="12"/>
              </w:rPr>
              <w:t xml:space="preserve"> </w:t>
            </w:r>
            <w:r>
              <w:rPr>
                <w:rFonts w:ascii="Times New Roman;Times;serif" w:hAnsi="Times New Roman;Times;serif"/>
                <w:color w:val="231F20"/>
                <w:sz w:val="12"/>
              </w:rPr>
              <w:t>Sharethis,</w:t>
            </w:r>
            <w:r>
              <w:rPr>
                <w:rFonts w:ascii="Aptos" w:hAnsi="Aptos"/>
                <w:color w:val="231F20"/>
                <w:spacing w:val="-4"/>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3000 El Camino Real</w:t>
            </w:r>
            <w:r>
              <w:rPr>
                <w:rFonts w:ascii="Aptos" w:hAnsi="Aptos"/>
                <w:color w:val="231F20"/>
                <w:spacing w:val="40"/>
                <w:sz w:val="12"/>
              </w:rPr>
              <w:t xml:space="preserve"> </w:t>
            </w:r>
            <w:r>
              <w:rPr>
                <w:rFonts w:ascii="Times New Roman;Times;serif" w:hAnsi="Times New Roman;Times;serif"/>
                <w:color w:val="231F20"/>
                <w:sz w:val="12"/>
              </w:rPr>
              <w:t>Building</w:t>
            </w:r>
            <w:r>
              <w:rPr>
                <w:rFonts w:ascii="Aptos" w:hAnsi="Aptos"/>
                <w:color w:val="231F20"/>
                <w:spacing w:val="-9"/>
                <w:sz w:val="12"/>
              </w:rPr>
              <w:t xml:space="preserve"> </w:t>
            </w:r>
            <w:r>
              <w:rPr>
                <w:rFonts w:ascii="Times New Roman;Times;serif" w:hAnsi="Times New Roman;Times;serif"/>
                <w:color w:val="231F20"/>
                <w:sz w:val="12"/>
              </w:rPr>
              <w:t>4,</w:t>
            </w:r>
            <w:r>
              <w:rPr>
                <w:rFonts w:ascii="Aptos" w:hAnsi="Aptos"/>
                <w:color w:val="231F20"/>
                <w:spacing w:val="-8"/>
                <w:sz w:val="12"/>
              </w:rPr>
              <w:t xml:space="preserve"> </w:t>
            </w:r>
            <w:r>
              <w:rPr>
                <w:rFonts w:ascii="Times New Roman;Times;serif" w:hAnsi="Times New Roman;Times;serif"/>
                <w:color w:val="231F20"/>
                <w:sz w:val="12"/>
              </w:rPr>
              <w:t>Suite</w:t>
            </w:r>
            <w:r>
              <w:rPr>
                <w:rFonts w:ascii="Aptos" w:hAnsi="Aptos"/>
                <w:color w:val="231F20"/>
                <w:spacing w:val="-8"/>
                <w:sz w:val="12"/>
              </w:rPr>
              <w:t xml:space="preserve"> </w:t>
            </w:r>
            <w:r>
              <w:rPr>
                <w:rFonts w:ascii="Times New Roman;Times;serif" w:hAnsi="Times New Roman;Times;serif"/>
                <w:color w:val="231F20"/>
                <w:sz w:val="12"/>
              </w:rPr>
              <w:t>200</w:t>
            </w:r>
            <w:r>
              <w:rPr>
                <w:rFonts w:ascii="Aptos" w:hAnsi="Aptos"/>
                <w:color w:val="231F20"/>
                <w:spacing w:val="-8"/>
                <w:sz w:val="12"/>
              </w:rPr>
              <w:t xml:space="preserve"> </w:t>
            </w:r>
            <w:r>
              <w:rPr>
                <w:rFonts w:ascii="Times New Roman;Times;serif" w:hAnsi="Times New Roman;Times;serif"/>
                <w:color w:val="231F20"/>
                <w:sz w:val="12"/>
              </w:rPr>
              <w:t>Palo</w:t>
            </w:r>
            <w:r>
              <w:rPr>
                <w:rFonts w:ascii="Aptos" w:hAnsi="Aptos"/>
                <w:color w:val="231F20"/>
                <w:spacing w:val="40"/>
                <w:sz w:val="12"/>
              </w:rPr>
              <w:t xml:space="preserve"> </w:t>
            </w:r>
            <w:r>
              <w:rPr>
                <w:rFonts w:ascii="Times New Roman;Times;serif" w:hAnsi="Times New Roman;Times;serif"/>
                <w:color w:val="231F20"/>
                <w:sz w:val="12"/>
              </w:rPr>
              <w:t>Alto, CA 94306 United</w:t>
            </w:r>
            <w:r>
              <w:rPr>
                <w:rFonts w:ascii="Aptos" w:hAnsi="Aptos"/>
                <w:color w:val="231F20"/>
                <w:spacing w:val="40"/>
                <w:sz w:val="12"/>
              </w:rPr>
              <w:t xml:space="preserve"> </w:t>
            </w:r>
            <w:r>
              <w:rPr>
                <w:rFonts w:ascii="Times New Roman;Times;serif" w:hAnsi="Times New Roman;Times;serif"/>
                <w:color w:val="231F20"/>
                <w:spacing w:val="-2"/>
                <w:sz w:val="12"/>
              </w:rPr>
              <w:t>States</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D-3</w:t>
            </w:r>
            <w:r>
              <w:rPr>
                <w:rFonts w:ascii="Aptos" w:hAnsi="Aptos"/>
                <w:color w:val="231F20"/>
                <w:spacing w:val="-6"/>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12/3/2028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647,615</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2,162</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4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132</w:t>
            </w:r>
          </w:p>
        </w:tc>
      </w:tr>
      <w:tr>
        <w:trPr/>
        <w:tc>
          <w:tcPr>
            <w:tcW w:w="1059" w:type="dxa"/>
            <w:tcBorders/>
            <w:vAlign w:val="center"/>
          </w:tcPr>
          <w:p>
            <w:pPr>
              <w:pStyle w:val="TableContents"/>
              <w:bidi w:val="0"/>
              <w:spacing w:lineRule="auto" w:line="285" w:before="0" w:after="0"/>
              <w:ind w:left="115"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8"/>
                <w:sz w:val="12"/>
              </w:rPr>
              <w:t xml:space="preserve"> </w:t>
            </w:r>
            <w:r>
              <w:rPr>
                <w:rFonts w:ascii="Times New Roman;Times;serif" w:hAnsi="Times New Roman;Times;serif"/>
                <w:b/>
                <w:color w:val="231F20"/>
                <w:sz w:val="12"/>
              </w:rPr>
              <w:t>Data</w:t>
            </w:r>
            <w:r>
              <w:rPr>
                <w:rFonts w:ascii="Times NR MT Pro" w:hAnsi="Times NR MT Pro"/>
                <w:color w:val="231F20"/>
                <w:spacing w:val="-8"/>
                <w:sz w:val="12"/>
              </w:rPr>
              <w:t xml:space="preserve"> </w:t>
            </w:r>
            <w:r>
              <w:rPr>
                <w:rFonts w:ascii="Times New Roman;Times;serif" w:hAnsi="Times New Roman;Times;serif"/>
                <w:b/>
                <w:color w:val="231F20"/>
                <w:sz w:val="12"/>
              </w:rPr>
              <w:t>Processing</w:t>
            </w:r>
            <w:r>
              <w:rPr>
                <w:rFonts w:ascii="Times NR MT Pro" w:hAnsi="Times NR MT Pro"/>
                <w:color w:val="231F20"/>
                <w:spacing w:val="-8"/>
                <w:sz w:val="12"/>
              </w:rPr>
              <w:t xml:space="preserve"> </w:t>
            </w:r>
            <w:r>
              <w:rPr>
                <w:rFonts w:ascii="Times New Roman;Times;serif" w:hAnsi="Times New Roman;Times;serif"/>
                <w:b/>
                <w:color w:val="231F20"/>
                <w:sz w:val="12"/>
              </w:rPr>
              <w:t>&amp;</w:t>
            </w:r>
            <w:r>
              <w:rPr>
                <w:rFonts w:ascii="Times NR MT Pro" w:hAnsi="Times NR MT Pro"/>
                <w:color w:val="231F20"/>
                <w:spacing w:val="-8"/>
                <w:sz w:val="12"/>
              </w:rPr>
              <w:t xml:space="preserve"> </w:t>
            </w:r>
            <w:r>
              <w:rPr>
                <w:rFonts w:ascii="Times New Roman;Times;serif" w:hAnsi="Times New Roman;Times;serif"/>
                <w:b/>
                <w:color w:val="231F20"/>
                <w:spacing w:val="-2"/>
                <w:sz w:val="12"/>
              </w:rPr>
              <w:t>Outsourced</w:t>
            </w:r>
          </w:p>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Services</w:t>
            </w:r>
            <w:r>
              <w:rPr>
                <w:rFonts w:ascii="Aptos" w:hAnsi="Aptos"/>
                <w:color w:val="231F20"/>
                <w:spacing w:val="1"/>
                <w:sz w:val="12"/>
              </w:rPr>
              <w:t xml:space="preserve"> </w:t>
            </w:r>
            <w:r>
              <w:rPr>
                <w:rFonts w:ascii="Aptos" w:hAnsi="Aptos"/>
                <w:color w:val="231F20"/>
                <w:sz w:val="12"/>
              </w:rPr>
              <w:t>–</w:t>
            </w:r>
            <w:r>
              <w:rPr>
                <w:rFonts w:ascii="Aptos" w:hAnsi="Aptos"/>
                <w:color w:val="231F20"/>
                <w:spacing w:val="1"/>
                <w:sz w:val="12"/>
              </w:rPr>
              <w:t xml:space="preserve"> </w:t>
            </w:r>
            <w:r>
              <w:rPr>
                <w:rFonts w:ascii="Times New Roman;Times;serif" w:hAnsi="Times New Roman;Times;serif"/>
                <w:b/>
                <w:color w:val="231F20"/>
                <w:sz w:val="12"/>
              </w:rPr>
              <w:t>0.14%*</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328" w:before="0" w:after="160"/>
              <w:ind w:left="0" w:right="0" w:hanging="0"/>
              <w:jc w:val="left"/>
              <w:rPr/>
            </w:pPr>
            <w:r>
              <w:rPr/>
              <w:t>​</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85"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4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73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2,946</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725</w:t>
            </w:r>
          </w:p>
        </w:tc>
      </w:tr>
      <w:tr>
        <w:trPr/>
        <w:tc>
          <w:tcPr>
            <w:tcW w:w="105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color w:val="231F20"/>
                <w:sz w:val="12"/>
              </w:rPr>
            </w:pPr>
            <w:r>
              <w:rPr>
                <w:rFonts w:ascii="Times New Roman;Times;serif" w:hAnsi="Times New Roman;Times;serif"/>
                <w:b/>
                <w:color w:val="231F20"/>
                <w:sz w:val="12"/>
              </w:rPr>
              <w:t>Electronic Equipment &amp; Instruments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328" w:before="0" w:after="160"/>
              <w:ind w:left="0" w:right="0" w:hanging="0"/>
              <w:jc w:val="left"/>
              <w:rPr/>
            </w:pPr>
            <w:r>
              <w:rPr/>
              <w:t>​</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85"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84"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3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color w:val="231F20"/>
                <w:spacing w:val="-2"/>
              </w:rPr>
            </w:pPr>
            <w:r>
              <w:rPr>
                <w:color w:val="231F20"/>
                <w:spacing w:val="-2"/>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color w:val="231F20"/>
                <w:spacing w:val="-5"/>
              </w:rPr>
            </w:pPr>
            <w:r>
              <w:rPr>
                <w:color w:val="231F20"/>
                <w:spacing w:val="-5"/>
              </w:rPr>
              <w:t>​</w:t>
            </w:r>
          </w:p>
        </w:tc>
      </w:tr>
      <w:tr>
        <w:trPr/>
        <w:tc>
          <w:tcPr>
            <w:tcW w:w="1059"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Brivo,</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7700 Old Georgetown</w:t>
            </w:r>
            <w:r>
              <w:rPr>
                <w:rFonts w:ascii="Aptos" w:hAnsi="Aptos"/>
                <w:color w:val="231F20"/>
                <w:spacing w:val="40"/>
                <w:sz w:val="12"/>
              </w:rPr>
              <w:t xml:space="preserve"> </w:t>
            </w:r>
            <w:r>
              <w:rPr>
                <w:rFonts w:ascii="Times New Roman;Times;serif" w:hAnsi="Times New Roman;Times;serif"/>
                <w:color w:val="231F20"/>
                <w:sz w:val="12"/>
              </w:rPr>
              <w:t>Road</w:t>
            </w:r>
            <w:r>
              <w:rPr>
                <w:rFonts w:ascii="Aptos" w:hAnsi="Aptos"/>
                <w:color w:val="231F20"/>
                <w:spacing w:val="-9"/>
                <w:sz w:val="12"/>
              </w:rPr>
              <w:t xml:space="preserve"> </w:t>
            </w:r>
            <w:r>
              <w:rPr>
                <w:rFonts w:ascii="Times New Roman;Times;serif" w:hAnsi="Times New Roman;Times;serif"/>
                <w:color w:val="231F20"/>
                <w:sz w:val="12"/>
              </w:rPr>
              <w:t>Suite</w:t>
            </w:r>
            <w:r>
              <w:rPr>
                <w:rFonts w:ascii="Aptos" w:hAnsi="Aptos"/>
                <w:color w:val="231F20"/>
                <w:spacing w:val="-8"/>
                <w:sz w:val="12"/>
              </w:rPr>
              <w:t xml:space="preserve"> </w:t>
            </w:r>
            <w:r>
              <w:rPr>
                <w:rFonts w:ascii="Times New Roman;Times;serif" w:hAnsi="Times New Roman;Times;serif"/>
                <w:color w:val="231F20"/>
                <w:sz w:val="12"/>
              </w:rPr>
              <w:t>300</w:t>
            </w:r>
            <w:r>
              <w:rPr>
                <w:rFonts w:ascii="Aptos" w:hAnsi="Aptos"/>
                <w:color w:val="231F20"/>
                <w:spacing w:val="-8"/>
                <w:sz w:val="12"/>
              </w:rPr>
              <w:t xml:space="preserve"> </w:t>
            </w:r>
            <w:r>
              <w:rPr>
                <w:rFonts w:ascii="Times New Roman;Times;serif" w:hAnsi="Times New Roman;Times;serif"/>
                <w:color w:val="231F20"/>
                <w:sz w:val="12"/>
              </w:rPr>
              <w:t>Bethesda,</w:t>
            </w:r>
            <w:r>
              <w:rPr>
                <w:rFonts w:ascii="Aptos" w:hAnsi="Aptos"/>
                <w:color w:val="231F20"/>
                <w:spacing w:val="40"/>
                <w:sz w:val="12"/>
              </w:rPr>
              <w:t xml:space="preserve"> </w:t>
            </w:r>
            <w:r>
              <w:rPr>
                <w:rFonts w:ascii="Times New Roman;Times;serif" w:hAnsi="Times New Roman;Times;serif"/>
                <w:color w:val="231F20"/>
                <w:sz w:val="12"/>
              </w:rPr>
              <w:t>MD</w:t>
            </w:r>
            <w:r>
              <w:rPr>
                <w:rFonts w:ascii="Aptos" w:hAnsi="Aptos"/>
                <w:color w:val="231F20"/>
                <w:spacing w:val="-5"/>
                <w:sz w:val="12"/>
              </w:rPr>
              <w:t xml:space="preserve"> </w:t>
            </w:r>
            <w:r>
              <w:rPr>
                <w:rFonts w:ascii="Times New Roman;Times;serif" w:hAnsi="Times New Roman;Times;serif"/>
                <w:color w:val="231F20"/>
                <w:sz w:val="12"/>
              </w:rPr>
              <w:t>20814</w:t>
            </w:r>
            <w:r>
              <w:rPr>
                <w:rFonts w:ascii="Aptos" w:hAnsi="Aptos"/>
                <w:color w:val="231F20"/>
                <w:spacing w:val="-4"/>
                <w:sz w:val="12"/>
              </w:rPr>
              <w:t xml:space="preserve"> </w:t>
            </w:r>
            <w:r>
              <w:rPr>
                <w:rFonts w:ascii="Times New Roman;Times;serif" w:hAnsi="Times New Roman;Times;serif"/>
                <w:color w:val="231F20"/>
                <w:sz w:val="12"/>
              </w:rPr>
              <w:t>United</w:t>
            </w:r>
            <w:r>
              <w:rPr>
                <w:rFonts w:ascii="Aptos" w:hAnsi="Aptos"/>
                <w:color w:val="231F20"/>
                <w:spacing w:val="-4"/>
                <w:sz w:val="12"/>
              </w:rPr>
              <w:t xml:space="preserve"> </w:t>
            </w:r>
            <w:r>
              <w:rPr>
                <w:rFonts w:ascii="Times New Roman;Times;serif" w:hAnsi="Times New Roman;Times;serif"/>
                <w:color w:val="231F20"/>
                <w:spacing w:val="-2"/>
                <w:sz w:val="12"/>
              </w:rPr>
              <w:t>States</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A-2</w:t>
            </w:r>
            <w:r>
              <w:rPr>
                <w:rFonts w:ascii="Aptos" w:hAnsi="Aptos"/>
                <w:color w:val="231F20"/>
                <w:spacing w:val="-6"/>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10/20/2032</w:t>
            </w:r>
          </w:p>
        </w:tc>
        <w:tc>
          <w:tcPr>
            <w:tcW w:w="346" w:type="dxa"/>
            <w:tcBorders/>
            <w:vAlign w:val="center"/>
          </w:tcPr>
          <w:p>
            <w:pPr>
              <w:pStyle w:val="TableContents"/>
              <w:bidi w:val="0"/>
              <w:spacing w:lineRule="auto" w:line="328" w:before="0" w:after="160"/>
              <w:ind w:left="0" w:right="0" w:hanging="0"/>
              <w:jc w:val="left"/>
              <w:rPr/>
            </w:pPr>
            <w:r>
              <w:rPr/>
              <w:t>​</w:t>
            </w:r>
          </w:p>
        </w:tc>
        <w:tc>
          <w:tcPr>
            <w:tcW w:w="58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201,000</w:t>
            </w:r>
          </w:p>
        </w:tc>
        <w:tc>
          <w:tcPr>
            <w:tcW w:w="346" w:type="dxa"/>
            <w:tcBorders/>
            <w:vAlign w:val="center"/>
          </w:tcPr>
          <w:p>
            <w:pPr>
              <w:pStyle w:val="TableContents"/>
              <w:bidi w:val="0"/>
              <w:spacing w:lineRule="auto" w:line="328" w:before="0" w:after="160"/>
              <w:ind w:left="0" w:right="0" w:hanging="0"/>
              <w:jc w:val="left"/>
              <w:rPr/>
            </w:pPr>
            <w:r>
              <w:rPr/>
              <w:t>​</w:t>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98</w:t>
            </w:r>
          </w:p>
        </w:tc>
        <w:tc>
          <w:tcPr>
            <w:tcW w:w="346" w:type="dxa"/>
            <w:tcBorders/>
            <w:vAlign w:val="center"/>
          </w:tcPr>
          <w:p>
            <w:pPr>
              <w:pStyle w:val="TableContents"/>
              <w:bidi w:val="0"/>
              <w:spacing w:lineRule="auto" w:line="328" w:before="0" w:after="160"/>
              <w:ind w:left="0" w:right="0" w:hanging="0"/>
              <w:jc w:val="right"/>
              <w:rPr/>
            </w:pPr>
            <w:r>
              <w:rPr/>
              <w:t>​</w:t>
            </w:r>
          </w:p>
        </w:tc>
        <w:tc>
          <w:tcPr>
            <w:tcW w:w="469"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154</w:t>
            </w:r>
          </w:p>
        </w:tc>
      </w:tr>
      <w:tr>
        <w:trPr/>
        <w:tc>
          <w:tcPr>
            <w:tcW w:w="1059"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Epic</w:t>
            </w:r>
            <w:r>
              <w:rPr>
                <w:rFonts w:ascii="Aptos" w:hAnsi="Aptos"/>
                <w:color w:val="231F20"/>
                <w:spacing w:val="-3"/>
                <w:sz w:val="12"/>
              </w:rPr>
              <w:t xml:space="preserve"> </w:t>
            </w:r>
            <w:r>
              <w:rPr>
                <w:rFonts w:ascii="Times New Roman;Times;serif" w:hAnsi="Times New Roman;Times;serif"/>
                <w:color w:val="231F20"/>
                <w:sz w:val="12"/>
              </w:rPr>
              <w:t>IO</w:t>
            </w:r>
            <w:r>
              <w:rPr>
                <w:rFonts w:ascii="Aptos" w:hAnsi="Aptos"/>
                <w:color w:val="231F20"/>
                <w:spacing w:val="-3"/>
                <w:sz w:val="12"/>
              </w:rPr>
              <w:t xml:space="preserve"> </w:t>
            </w:r>
            <w:r>
              <w:rPr>
                <w:rFonts w:ascii="Times New Roman;Times;serif" w:hAnsi="Times New Roman;Times;serif"/>
                <w:color w:val="231F20"/>
                <w:sz w:val="12"/>
              </w:rPr>
              <w:t>Technologies,</w:t>
            </w:r>
            <w:r>
              <w:rPr>
                <w:rFonts w:ascii="Aptos" w:hAnsi="Aptos"/>
                <w:color w:val="231F20"/>
                <w:spacing w:val="-3"/>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3463</w:t>
            </w:r>
            <w:r>
              <w:rPr>
                <w:rFonts w:ascii="Times NR MT Pro" w:hAnsi="Times NR MT Pro"/>
                <w:color w:val="231F20"/>
                <w:spacing w:val="-7"/>
                <w:sz w:val="12"/>
              </w:rPr>
              <w:t xml:space="preserve"> </w:t>
            </w:r>
            <w:r>
              <w:rPr>
                <w:rFonts w:ascii="Times New Roman;Times;serif" w:hAnsi="Times New Roman;Times;serif"/>
                <w:color w:val="231F20"/>
                <w:spacing w:val="-2"/>
                <w:sz w:val="12"/>
              </w:rPr>
              <w:t>Lakemont</w:t>
            </w:r>
            <w:r>
              <w:rPr>
                <w:rFonts w:ascii="Times NR MT Pro" w:hAnsi="Times NR MT Pro"/>
                <w:color w:val="231F20"/>
                <w:spacing w:val="-6"/>
                <w:sz w:val="12"/>
              </w:rPr>
              <w:t xml:space="preserve"> </w:t>
            </w:r>
            <w:r>
              <w:rPr>
                <w:rFonts w:ascii="Times New Roman;Times;serif" w:hAnsi="Times New Roman;Times;serif"/>
                <w:color w:val="231F20"/>
                <w:spacing w:val="-2"/>
                <w:sz w:val="12"/>
              </w:rPr>
              <w:t>Boulevard</w:t>
            </w:r>
            <w:r>
              <w:rPr>
                <w:rFonts w:ascii="Times NR MT Pro" w:hAnsi="Times NR MT Pro"/>
                <w:color w:val="231F20"/>
                <w:spacing w:val="40"/>
                <w:sz w:val="12"/>
              </w:rPr>
              <w:t xml:space="preserve"> </w:t>
            </w:r>
            <w:r>
              <w:rPr>
                <w:rFonts w:ascii="Times New Roman;Times;serif" w:hAnsi="Times New Roman;Times;serif"/>
                <w:color w:val="231F20"/>
                <w:sz w:val="12"/>
              </w:rPr>
              <w:t>Suite 104 Fort Mill, SC</w:t>
            </w:r>
            <w:r>
              <w:rPr>
                <w:rFonts w:ascii="Times NR MT Pro" w:hAnsi="Times NR MT Pro"/>
                <w:color w:val="231F20"/>
                <w:spacing w:val="-4"/>
                <w:sz w:val="12"/>
              </w:rPr>
              <w:t xml:space="preserve"> </w:t>
            </w:r>
            <w:r>
              <w:rPr>
                <w:rFonts w:ascii="Times New Roman;Times;serif" w:hAnsi="Times New Roman;Times;serif"/>
                <w:color w:val="231F20"/>
                <w:sz w:val="12"/>
              </w:rPr>
              <w:t>29708</w:t>
            </w:r>
            <w:r>
              <w:rPr>
                <w:rFonts w:ascii="Times NR MT Pro" w:hAnsi="Times NR MT Pro"/>
                <w:color w:val="231F20"/>
                <w:spacing w:val="-4"/>
                <w:sz w:val="12"/>
              </w:rPr>
              <w:t xml:space="preserve"> </w:t>
            </w:r>
            <w:r>
              <w:rPr>
                <w:rFonts w:ascii="Times New Roman;Times;serif" w:hAnsi="Times New Roman;Times;serif"/>
                <w:color w:val="231F20"/>
                <w:sz w:val="12"/>
              </w:rPr>
              <w:t>United</w:t>
            </w:r>
            <w:r>
              <w:rPr>
                <w:rFonts w:ascii="Times NR MT Pro" w:hAnsi="Times NR MT Pro"/>
                <w:color w:val="231F20"/>
                <w:spacing w:val="-4"/>
                <w:sz w:val="12"/>
              </w:rPr>
              <w:t xml:space="preserve"> </w:t>
            </w:r>
            <w:r>
              <w:rPr>
                <w:rFonts w:ascii="Times New Roman;Times;serif" w:hAnsi="Times New Roman;Times;serif"/>
                <w:color w:val="231F20"/>
                <w:spacing w:val="-2"/>
                <w:sz w:val="12"/>
              </w:rPr>
              <w:t>States</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Success</w:t>
            </w:r>
            <w:r>
              <w:rPr>
                <w:rFonts w:ascii="Aptos" w:hAnsi="Aptos"/>
                <w:color w:val="231F20"/>
                <w:spacing w:val="-6"/>
                <w:sz w:val="12"/>
              </w:rPr>
              <w:t xml:space="preserve"> </w:t>
            </w:r>
            <w:r>
              <w:rPr>
                <w:rFonts w:ascii="Times New Roman;Times;serif" w:hAnsi="Times New Roman;Times;serif"/>
                <w:color w:val="231F20"/>
                <w:spacing w:val="-5"/>
                <w:sz w:val="12"/>
              </w:rPr>
              <w:t>fee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12/17/2028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3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505</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4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343</w:t>
            </w:r>
          </w:p>
        </w:tc>
      </w:tr>
      <w:tr>
        <w:trPr/>
        <w:tc>
          <w:tcPr>
            <w:tcW w:w="1059" w:type="dxa"/>
            <w:tcBorders/>
            <w:vAlign w:val="center"/>
          </w:tcPr>
          <w:p>
            <w:pPr>
              <w:pStyle w:val="TableContents"/>
              <w:bidi w:val="0"/>
              <w:spacing w:lineRule="auto" w:line="285" w:before="0" w:after="0"/>
              <w:ind w:left="115" w:right="0" w:hanging="0"/>
              <w:jc w:val="left"/>
              <w:rPr>
                <w:rFonts w:ascii="Times NR MT Pro" w:hAnsi="Times NR MT Pro"/>
                <w:sz w:val="12"/>
              </w:rPr>
            </w:pPr>
            <w:r>
              <w:rPr>
                <w:rFonts w:ascii="Times New Roman;Times;serif" w:hAnsi="Times New Roman;Times;serif"/>
                <w:b/>
                <w:color w:val="231F20"/>
                <w:spacing w:val="-2"/>
                <w:sz w:val="12"/>
              </w:rPr>
              <w:t>Total</w:t>
            </w:r>
            <w:r>
              <w:rPr>
                <w:rFonts w:ascii="Times NR MT Pro" w:hAnsi="Times NR MT Pro"/>
                <w:color w:val="231F20"/>
                <w:spacing w:val="5"/>
                <w:sz w:val="12"/>
              </w:rPr>
              <w:t xml:space="preserve"> </w:t>
            </w:r>
            <w:r>
              <w:rPr>
                <w:rFonts w:ascii="Times New Roman;Times;serif" w:hAnsi="Times New Roman;Times;serif"/>
                <w:b/>
                <w:color w:val="231F20"/>
                <w:spacing w:val="-2"/>
                <w:sz w:val="12"/>
              </w:rPr>
              <w:t>Electronic</w:t>
            </w:r>
            <w:r>
              <w:rPr>
                <w:rFonts w:ascii="Times NR MT Pro" w:hAnsi="Times NR MT Pro"/>
                <w:color w:val="231F20"/>
                <w:spacing w:val="5"/>
                <w:sz w:val="12"/>
              </w:rPr>
              <w:t xml:space="preserve"> </w:t>
            </w:r>
            <w:r>
              <w:rPr>
                <w:rFonts w:ascii="Times New Roman;Times;serif" w:hAnsi="Times New Roman;Times;serif"/>
                <w:b/>
                <w:color w:val="231F20"/>
                <w:spacing w:val="-2"/>
                <w:sz w:val="12"/>
              </w:rPr>
              <w:t>Equipment</w:t>
            </w:r>
            <w:r>
              <w:rPr>
                <w:rFonts w:ascii="Times NR MT Pro" w:hAnsi="Times NR MT Pro"/>
                <w:color w:val="231F20"/>
                <w:spacing w:val="5"/>
                <w:sz w:val="12"/>
              </w:rPr>
              <w:t xml:space="preserve"> </w:t>
            </w:r>
            <w:r>
              <w:rPr>
                <w:rFonts w:ascii="Times New Roman;Times;serif" w:hAnsi="Times New Roman;Times;serif"/>
                <w:b/>
                <w:color w:val="231F20"/>
                <w:spacing w:val="-10"/>
                <w:sz w:val="12"/>
              </w:rPr>
              <w:t>&amp;</w:t>
            </w:r>
          </w:p>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Instruments</w:t>
            </w:r>
            <w:r>
              <w:rPr>
                <w:rFonts w:ascii="Aptos" w:hAnsi="Aptos"/>
                <w:color w:val="231F20"/>
                <w:spacing w:val="1"/>
                <w:sz w:val="12"/>
              </w:rPr>
              <w:t xml:space="preserve"> </w:t>
            </w:r>
            <w:r>
              <w:rPr>
                <w:rFonts w:ascii="Aptos" w:hAnsi="Aptos"/>
                <w:color w:val="231F20"/>
                <w:sz w:val="12"/>
              </w:rPr>
              <w:t>–</w:t>
            </w:r>
            <w:r>
              <w:rPr>
                <w:rFonts w:ascii="Aptos" w:hAnsi="Aptos"/>
                <w:color w:val="231F20"/>
                <w:spacing w:val="1"/>
                <w:sz w:val="12"/>
              </w:rPr>
              <w:t xml:space="preserve"> </w:t>
            </w:r>
            <w:r>
              <w:rPr>
                <w:rFonts w:ascii="Times New Roman;Times;serif" w:hAnsi="Times New Roman;Times;serif"/>
                <w:b/>
                <w:color w:val="231F20"/>
                <w:sz w:val="12"/>
              </w:rPr>
              <w:t>0.10%*</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328" w:before="0" w:after="160"/>
              <w:ind w:left="0" w:right="0" w:hanging="0"/>
              <w:jc w:val="left"/>
              <w:rPr/>
            </w:pPr>
            <w:r>
              <w:rPr/>
              <w:t>​</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5"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3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603</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497</w:t>
            </w:r>
          </w:p>
        </w:tc>
      </w:tr>
      <w:tr>
        <w:trPr/>
        <w:tc>
          <w:tcPr>
            <w:tcW w:w="1059"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pacing w:val="-2"/>
                <w:sz w:val="12"/>
              </w:rPr>
              <w:t>Healthcare</w:t>
            </w:r>
            <w:r>
              <w:rPr>
                <w:rFonts w:ascii="Aptos" w:hAnsi="Aptos"/>
                <w:color w:val="231F20"/>
                <w:spacing w:val="9"/>
                <w:sz w:val="12"/>
              </w:rPr>
              <w:t xml:space="preserve"> </w:t>
            </w:r>
            <w:r>
              <w:rPr>
                <w:rFonts w:ascii="Times New Roman;Times;serif" w:hAnsi="Times New Roman;Times;serif"/>
                <w:b/>
                <w:color w:val="231F20"/>
                <w:spacing w:val="-2"/>
                <w:sz w:val="12"/>
              </w:rPr>
              <w:t>Equipment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1022" w:type="dxa"/>
            <w:tcBorders/>
            <w:shd w:fill="CCEEFF" w:val="clear"/>
            <w:vAlign w:val="center"/>
          </w:tcPr>
          <w:p>
            <w:pPr>
              <w:pStyle w:val="TableContents"/>
              <w:bidi w:val="0"/>
              <w:spacing w:lineRule="auto" w:line="328" w:before="0" w:after="160"/>
              <w:ind w:left="0" w:right="0" w:hanging="0"/>
              <w:jc w:val="left"/>
              <w:rPr/>
            </w:pPr>
            <w:r>
              <w:rPr/>
              <w:t>​</w:t>
            </w:r>
          </w:p>
        </w:tc>
        <w:tc>
          <w:tcPr>
            <w:tcW w:w="22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84"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08"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5"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484"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3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9"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1059"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Moximed,</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1022"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46602</w:t>
            </w:r>
            <w:r>
              <w:rPr>
                <w:rFonts w:ascii="Times NR MT Pro" w:hAnsi="Times NR MT Pro"/>
                <w:color w:val="231F20"/>
                <w:spacing w:val="-5"/>
                <w:sz w:val="12"/>
              </w:rPr>
              <w:t xml:space="preserve"> </w:t>
            </w:r>
            <w:r>
              <w:rPr>
                <w:rFonts w:ascii="Times New Roman;Times;serif" w:hAnsi="Times New Roman;Times;serif"/>
                <w:color w:val="231F20"/>
                <w:sz w:val="12"/>
              </w:rPr>
              <w:t>Landing</w:t>
            </w:r>
            <w:r>
              <w:rPr>
                <w:rFonts w:ascii="Times NR MT Pro" w:hAnsi="Times NR MT Pro"/>
                <w:color w:val="231F20"/>
                <w:spacing w:val="-5"/>
                <w:sz w:val="12"/>
              </w:rPr>
              <w:t xml:space="preserve"> </w:t>
            </w:r>
            <w:r>
              <w:rPr>
                <w:rFonts w:ascii="Times New Roman;Times;serif" w:hAnsi="Times New Roman;Times;serif"/>
                <w:color w:val="231F20"/>
                <w:spacing w:val="-2"/>
                <w:sz w:val="12"/>
              </w:rPr>
              <w:t xml:space="preserve">Parkway </w:t>
            </w:r>
            <w:r>
              <w:rPr>
                <w:rFonts w:ascii="Times New Roman;Times;serif" w:hAnsi="Times New Roman;Times;serif"/>
                <w:color w:val="231F20"/>
                <w:sz w:val="12"/>
              </w:rPr>
              <w:t>Fremont,</w:t>
            </w:r>
            <w:r>
              <w:rPr>
                <w:rFonts w:ascii="Times NR MT Pro" w:hAnsi="Times NR MT Pro"/>
                <w:color w:val="231F20"/>
                <w:spacing w:val="-9"/>
                <w:sz w:val="12"/>
              </w:rPr>
              <w:t xml:space="preserve"> </w:t>
            </w:r>
            <w:r>
              <w:rPr>
                <w:rFonts w:ascii="Times New Roman;Times;serif" w:hAnsi="Times New Roman;Times;serif"/>
                <w:color w:val="231F20"/>
                <w:sz w:val="12"/>
              </w:rPr>
              <w:t>CA</w:t>
            </w:r>
            <w:r>
              <w:rPr>
                <w:rFonts w:ascii="Times NR MT Pro" w:hAnsi="Times NR MT Pro"/>
                <w:color w:val="231F20"/>
                <w:spacing w:val="-8"/>
                <w:sz w:val="12"/>
              </w:rPr>
              <w:t xml:space="preserve"> </w:t>
            </w:r>
            <w:r>
              <w:rPr>
                <w:rFonts w:ascii="Times New Roman;Times;serif" w:hAnsi="Times New Roman;Times;serif"/>
                <w:color w:val="231F20"/>
                <w:sz w:val="12"/>
              </w:rPr>
              <w:t>94538</w:t>
            </w:r>
            <w:r>
              <w:rPr>
                <w:rFonts w:ascii="Times NR MT Pro" w:hAnsi="Times NR MT Pro"/>
                <w:color w:val="231F20"/>
                <w:spacing w:val="40"/>
                <w:sz w:val="12"/>
              </w:rPr>
              <w:t xml:space="preserve"> </w:t>
            </w:r>
            <w:r>
              <w:rPr>
                <w:rFonts w:ascii="Times New Roman;Times;serif" w:hAnsi="Times New Roman;Times;serif"/>
                <w:color w:val="231F20"/>
                <w:sz w:val="12"/>
              </w:rPr>
              <w:t>United</w:t>
            </w:r>
            <w:r>
              <w:rPr>
                <w:rFonts w:ascii="Times NR MT Pro" w:hAnsi="Times NR MT Pro"/>
                <w:color w:val="231F20"/>
                <w:spacing w:val="-9"/>
                <w:sz w:val="12"/>
              </w:rPr>
              <w:t xml:space="preserve"> </w:t>
            </w:r>
            <w:r>
              <w:rPr>
                <w:rFonts w:ascii="Times New Roman;Times;serif" w:hAnsi="Times New Roman;Times;serif"/>
                <w:color w:val="231F20"/>
                <w:sz w:val="12"/>
              </w:rPr>
              <w:t>States</w:t>
            </w:r>
          </w:p>
        </w:tc>
        <w:tc>
          <w:tcPr>
            <w:tcW w:w="22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84"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C</w:t>
            </w:r>
            <w:r>
              <w:rPr>
                <w:rFonts w:ascii="Aptos" w:hAnsi="Aptos"/>
                <w:color w:val="231F20"/>
                <w:spacing w:val="-5"/>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608"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6/24/2032</w:t>
            </w:r>
          </w:p>
        </w:tc>
        <w:tc>
          <w:tcPr>
            <w:tcW w:w="346" w:type="dxa"/>
            <w:tcBorders/>
            <w:vAlign w:val="center"/>
          </w:tcPr>
          <w:p>
            <w:pPr>
              <w:pStyle w:val="TableContents"/>
              <w:bidi w:val="0"/>
              <w:spacing w:lineRule="auto" w:line="328" w:before="0" w:after="160"/>
              <w:ind w:left="0" w:right="0" w:hanging="0"/>
              <w:jc w:val="left"/>
              <w:rPr/>
            </w:pPr>
            <w:r>
              <w:rPr/>
              <w:t>​</w:t>
            </w:r>
          </w:p>
        </w:tc>
        <w:tc>
          <w:tcPr>
            <w:tcW w:w="58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214,285</w:t>
            </w:r>
          </w:p>
        </w:tc>
        <w:tc>
          <w:tcPr>
            <w:tcW w:w="346" w:type="dxa"/>
            <w:tcBorders/>
            <w:vAlign w:val="center"/>
          </w:tcPr>
          <w:p>
            <w:pPr>
              <w:pStyle w:val="TableContents"/>
              <w:bidi w:val="0"/>
              <w:spacing w:lineRule="auto" w:line="328" w:before="0" w:after="160"/>
              <w:ind w:left="0" w:right="0" w:hanging="0"/>
              <w:jc w:val="left"/>
              <w:rPr/>
            </w:pPr>
            <w:r>
              <w:rPr/>
              <w:t>​</w:t>
            </w:r>
          </w:p>
        </w:tc>
        <w:tc>
          <w:tcPr>
            <w:tcW w:w="73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175</w:t>
            </w:r>
          </w:p>
        </w:tc>
        <w:tc>
          <w:tcPr>
            <w:tcW w:w="346" w:type="dxa"/>
            <w:tcBorders/>
            <w:vAlign w:val="center"/>
          </w:tcPr>
          <w:p>
            <w:pPr>
              <w:pStyle w:val="TableContents"/>
              <w:bidi w:val="0"/>
              <w:spacing w:lineRule="auto" w:line="328" w:before="0" w:after="160"/>
              <w:ind w:left="0" w:right="0" w:hanging="0"/>
              <w:jc w:val="right"/>
              <w:rPr/>
            </w:pPr>
            <w:r>
              <w:rPr/>
              <w:t>​</w:t>
            </w:r>
          </w:p>
        </w:tc>
        <w:tc>
          <w:tcPr>
            <w:tcW w:w="469" w:type="dxa"/>
            <w:tcBorders/>
            <w:vAlign w:val="center"/>
          </w:tcPr>
          <w:p>
            <w:pPr>
              <w:pStyle w:val="TableContents"/>
              <w:bidi w:val="0"/>
              <w:spacing w:lineRule="auto" w:line="285" w:before="0" w:after="0"/>
              <w:ind w:left="0" w:right="58"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11</w:t>
            </w:r>
          </w:p>
        </w:tc>
      </w:tr>
    </w:tbl>
    <w:tbl>
      <w:tblPr>
        <w:tblW w:w="3017" w:type="dxa"/>
        <w:jc w:val="left"/>
        <w:tblInd w:w="200" w:type="dxa"/>
        <w:tblLayout w:type="fixed"/>
        <w:tblCellMar>
          <w:top w:w="0" w:type="dxa"/>
          <w:left w:w="0" w:type="dxa"/>
          <w:bottom w:w="0" w:type="dxa"/>
          <w:right w:w="0" w:type="dxa"/>
        </w:tblCellMar>
      </w:tblPr>
      <w:tblGrid>
        <w:gridCol w:w="226"/>
        <w:gridCol w:w="2791"/>
      </w:tblGrid>
      <w:tr>
        <w:trPr/>
        <w:tc>
          <w:tcPr>
            <w:tcW w:w="22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w:t>
            </w:r>
          </w:p>
        </w:tc>
        <w:tc>
          <w:tcPr>
            <w:tcW w:w="279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Value as percentage of net assets</w:t>
            </w:r>
          </w:p>
        </w:tc>
      </w:tr>
    </w:tbl>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28" w:before="0" w:after="16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1051"/>
        <w:gridCol w:w="346"/>
        <w:gridCol w:w="900"/>
        <w:gridCol w:w="346"/>
        <w:gridCol w:w="691"/>
        <w:gridCol w:w="346"/>
        <w:gridCol w:w="752"/>
        <w:gridCol w:w="346"/>
        <w:gridCol w:w="589"/>
        <w:gridCol w:w="346"/>
        <w:gridCol w:w="571"/>
        <w:gridCol w:w="346"/>
        <w:gridCol w:w="570"/>
        <w:gridCol w:w="346"/>
        <w:gridCol w:w="726"/>
        <w:gridCol w:w="346"/>
        <w:gridCol w:w="376"/>
        <w:gridCol w:w="346"/>
        <w:gridCol w:w="465"/>
      </w:tblGrid>
      <w:tr>
        <w:trPr/>
        <w:tc>
          <w:tcPr>
            <w:tcW w:w="1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7385" cy="29210"/>
                      <wp:effectExtent l="0" t="0" r="0" b="0"/>
                      <wp:wrapNone/>
                      <wp:docPr id="51" name="Frame49"/>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29210"/>
                      <wp:effectExtent l="0" t="0" r="0" b="0"/>
                      <wp:wrapNone/>
                      <wp:docPr id="52" name="Frame5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1500" cy="29210"/>
                      <wp:effectExtent l="0" t="0" r="0" b="0"/>
                      <wp:wrapNone/>
                      <wp:docPr id="53" name="Frame51"/>
                      <a:graphic xmlns:a="http://schemas.openxmlformats.org/drawingml/2006/main">
                        <a:graphicData uri="http://schemas.microsoft.com/office/word/2010/wordprocessingShape">
                          <wps:wsp>
                            <wps:cNvSpPr txBox="1"/>
                            <wps:spPr>
                              <a:xfrm>
                                <a:off x="0" y="0"/>
                                <a:ext cx="5715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29210"/>
                      <wp:effectExtent l="0" t="0" r="0" b="0"/>
                      <wp:wrapNone/>
                      <wp:docPr id="54" name="Frame5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38785" cy="29210"/>
                      <wp:effectExtent l="0" t="0" r="0" b="0"/>
                      <wp:wrapNone/>
                      <wp:docPr id="55" name="Frame53"/>
                      <a:graphic xmlns:a="http://schemas.openxmlformats.org/drawingml/2006/main">
                        <a:graphicData uri="http://schemas.microsoft.com/office/word/2010/wordprocessingShape">
                          <wps:wsp>
                            <wps:cNvSpPr txBox="1"/>
                            <wps:spPr>
                              <a:xfrm>
                                <a:off x="0" y="0"/>
                                <a:ext cx="438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29210"/>
                      <wp:effectExtent l="0" t="0" r="0" b="0"/>
                      <wp:wrapNone/>
                      <wp:docPr id="56" name="Frame5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77520" cy="29210"/>
                      <wp:effectExtent l="0" t="0" r="0" b="0"/>
                      <wp:wrapNone/>
                      <wp:docPr id="57" name="Frame55"/>
                      <a:graphic xmlns:a="http://schemas.openxmlformats.org/drawingml/2006/main">
                        <a:graphicData uri="http://schemas.microsoft.com/office/word/2010/wordprocessingShape">
                          <wps:wsp>
                            <wps:cNvSpPr txBox="1"/>
                            <wps:spPr>
                              <a:xfrm>
                                <a:off x="0" y="0"/>
                                <a:ext cx="4775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29210"/>
                      <wp:effectExtent l="0" t="0" r="0" b="0"/>
                      <wp:wrapNone/>
                      <wp:docPr id="58" name="Frame5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74015" cy="29210"/>
                      <wp:effectExtent l="0" t="0" r="0" b="0"/>
                      <wp:wrapNone/>
                      <wp:docPr id="59" name="Frame57"/>
                      <a:graphic xmlns:a="http://schemas.openxmlformats.org/drawingml/2006/main">
                        <a:graphicData uri="http://schemas.microsoft.com/office/word/2010/wordprocessingShape">
                          <wps:wsp>
                            <wps:cNvSpPr txBox="1"/>
                            <wps:spPr>
                              <a:xfrm>
                                <a:off x="0" y="0"/>
                                <a:ext cx="3740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29210"/>
                      <wp:effectExtent l="0" t="0" r="0" b="0"/>
                      <wp:wrapNone/>
                      <wp:docPr id="60" name="Frame5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2585" cy="29210"/>
                      <wp:effectExtent l="0" t="0" r="0" b="0"/>
                      <wp:wrapNone/>
                      <wp:docPr id="61" name="Frame59"/>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29210"/>
                      <wp:effectExtent l="0" t="0" r="0" b="0"/>
                      <wp:wrapNone/>
                      <wp:docPr id="62" name="Frame6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61950" cy="29210"/>
                      <wp:effectExtent l="0" t="0" r="0" b="0"/>
                      <wp:wrapNone/>
                      <wp:docPr id="63" name="Frame61"/>
                      <a:graphic xmlns:a="http://schemas.openxmlformats.org/drawingml/2006/main">
                        <a:graphicData uri="http://schemas.microsoft.com/office/word/2010/wordprocessingShape">
                          <wps:wsp>
                            <wps:cNvSpPr txBox="1"/>
                            <wps:spPr>
                              <a:xfrm>
                                <a:off x="0" y="0"/>
                                <a:ext cx="3619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29210"/>
                      <wp:effectExtent l="0" t="0" r="0" b="0"/>
                      <wp:wrapNone/>
                      <wp:docPr id="64" name="Frame6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61010" cy="29210"/>
                      <wp:effectExtent l="0" t="0" r="0" b="0"/>
                      <wp:wrapNone/>
                      <wp:docPr id="65" name="Frame63"/>
                      <a:graphic xmlns:a="http://schemas.openxmlformats.org/drawingml/2006/main">
                        <a:graphicData uri="http://schemas.microsoft.com/office/word/2010/wordprocessingShape">
                          <wps:wsp>
                            <wps:cNvSpPr txBox="1"/>
                            <wps:spPr>
                              <a:xfrm>
                                <a:off x="0" y="0"/>
                                <a:ext cx="461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29210"/>
                      <wp:effectExtent l="0" t="0" r="0" b="0"/>
                      <wp:wrapNone/>
                      <wp:docPr id="66" name="Frame6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38760" cy="29210"/>
                      <wp:effectExtent l="0" t="0" r="0" b="0"/>
                      <wp:wrapNone/>
                      <wp:docPr id="67" name="Frame65"/>
                      <a:graphic xmlns:a="http://schemas.openxmlformats.org/drawingml/2006/main">
                        <a:graphicData uri="http://schemas.microsoft.com/office/word/2010/wordprocessingShape">
                          <wps:wsp>
                            <wps:cNvSpPr txBox="1"/>
                            <wps:spPr>
                              <a:xfrm>
                                <a:off x="0" y="0"/>
                                <a:ext cx="238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29210"/>
                      <wp:effectExtent l="0" t="0" r="0" b="0"/>
                      <wp:wrapNone/>
                      <wp:docPr id="68" name="Frame6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95275" cy="29210"/>
                      <wp:effectExtent l="0" t="0" r="0" b="0"/>
                      <wp:wrapNone/>
                      <wp:docPr id="69" name="Frame67"/>
                      <a:graphic xmlns:a="http://schemas.openxmlformats.org/drawingml/2006/main">
                        <a:graphicData uri="http://schemas.microsoft.com/office/word/2010/wordprocessingShape">
                          <wps:wsp>
                            <wps:cNvSpPr txBox="1"/>
                            <wps:spPr>
                              <a:xfrm>
                                <a:off x="0" y="0"/>
                                <a:ext cx="2952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Percentage of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65"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Maturity</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Principal</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Class Held on 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Cost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65"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Fair</w:t>
            </w:r>
          </w:p>
        </w:tc>
      </w:tr>
      <w:tr>
        <w:trPr/>
        <w:tc>
          <w:tcPr>
            <w:tcW w:w="10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Portfolio Company</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90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w:t>
            </w:r>
          </w:p>
        </w:tc>
        <w:tc>
          <w:tcPr>
            <w:tcW w:w="34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Type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75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 Description</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58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Date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57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7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Fully Diluted Basis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46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Value ($)</w:t>
            </w:r>
          </w:p>
        </w:tc>
      </w:tr>
      <w:tr>
        <w:trPr/>
        <w:tc>
          <w:tcPr>
            <w:tcW w:w="105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Revelle</w:t>
            </w:r>
            <w:r>
              <w:rPr>
                <w:rFonts w:ascii="Aptos" w:hAnsi="Aptos"/>
                <w:color w:val="231F20"/>
                <w:spacing w:val="-3"/>
                <w:sz w:val="12"/>
              </w:rPr>
              <w:t xml:space="preserve"> </w:t>
            </w:r>
            <w:r>
              <w:rPr>
                <w:rFonts w:ascii="Times New Roman;Times;serif" w:hAnsi="Times New Roman;Times;serif"/>
                <w:color w:val="231F20"/>
                <w:sz w:val="12"/>
              </w:rPr>
              <w:t>Aesthetics,</w:t>
            </w:r>
            <w:r>
              <w:rPr>
                <w:rFonts w:ascii="Aptos" w:hAnsi="Aptos"/>
                <w:color w:val="231F20"/>
                <w:spacing w:val="-3"/>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00" w:type="dxa"/>
            <w:tcBorders>
              <w:top w:val="single" w:sz="2" w:space="0" w:color="000000"/>
            </w:tcBorders>
            <w:shd w:fill="CCEEFF" w:val="clear"/>
            <w:tcMar>
              <w:top w:w="28" w:type="dxa"/>
            </w:tcM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pacing w:val="-2"/>
                <w:sz w:val="12"/>
              </w:rPr>
              <w:t>2570</w:t>
            </w:r>
            <w:r>
              <w:rPr>
                <w:rFonts w:ascii="Aptos" w:hAnsi="Aptos"/>
                <w:color w:val="231F20"/>
                <w:spacing w:val="-7"/>
                <w:sz w:val="12"/>
              </w:rPr>
              <w:t xml:space="preserve"> </w:t>
            </w:r>
            <w:r>
              <w:rPr>
                <w:rFonts w:ascii="Times New Roman;Times;serif" w:hAnsi="Times New Roman;Times;serif"/>
                <w:color w:val="231F20"/>
                <w:spacing w:val="-2"/>
                <w:sz w:val="12"/>
              </w:rPr>
              <w:t>West</w:t>
            </w:r>
            <w:r>
              <w:rPr>
                <w:rFonts w:ascii="Aptos" w:hAnsi="Aptos"/>
                <w:color w:val="231F20"/>
                <w:spacing w:val="-6"/>
                <w:sz w:val="12"/>
              </w:rPr>
              <w:t xml:space="preserve"> </w:t>
            </w:r>
            <w:r>
              <w:rPr>
                <w:rFonts w:ascii="Times New Roman;Times;serif" w:hAnsi="Times New Roman;Times;serif"/>
                <w:color w:val="231F20"/>
                <w:spacing w:val="-2"/>
                <w:sz w:val="12"/>
              </w:rPr>
              <w:t>El</w:t>
            </w:r>
            <w:r>
              <w:rPr>
                <w:rFonts w:ascii="Aptos" w:hAnsi="Aptos"/>
                <w:color w:val="231F20"/>
                <w:spacing w:val="-6"/>
                <w:sz w:val="12"/>
              </w:rPr>
              <w:t xml:space="preserve"> </w:t>
            </w:r>
            <w:r>
              <w:rPr>
                <w:rFonts w:ascii="Times New Roman;Times;serif" w:hAnsi="Times New Roman;Times;serif"/>
                <w:color w:val="231F20"/>
                <w:spacing w:val="-2"/>
                <w:sz w:val="12"/>
              </w:rPr>
              <w:t>Camino</w:t>
            </w:r>
            <w:r>
              <w:rPr>
                <w:rFonts w:ascii="Aptos" w:hAnsi="Aptos"/>
                <w:color w:val="231F20"/>
                <w:spacing w:val="-6"/>
                <w:sz w:val="12"/>
              </w:rPr>
              <w:t xml:space="preserve"> </w:t>
            </w:r>
            <w:r>
              <w:rPr>
                <w:rFonts w:ascii="Times New Roman;Times;serif" w:hAnsi="Times New Roman;Times;serif"/>
                <w:color w:val="231F20"/>
                <w:spacing w:val="-2"/>
                <w:sz w:val="12"/>
              </w:rPr>
              <w:t>Real</w:t>
            </w:r>
            <w:r>
              <w:rPr>
                <w:rFonts w:ascii="Aptos" w:hAnsi="Aptos"/>
                <w:color w:val="231F20"/>
                <w:spacing w:val="40"/>
                <w:sz w:val="12"/>
              </w:rPr>
              <w:t xml:space="preserve"> </w:t>
            </w:r>
            <w:r>
              <w:rPr>
                <w:rFonts w:ascii="Times New Roman;Times;serif" w:hAnsi="Times New Roman;Times;serif"/>
                <w:color w:val="231F20"/>
                <w:sz w:val="12"/>
              </w:rPr>
              <w:t>Suite</w:t>
            </w:r>
            <w:r>
              <w:rPr>
                <w:rFonts w:ascii="Aptos" w:hAnsi="Aptos"/>
                <w:color w:val="231F20"/>
                <w:spacing w:val="-6"/>
                <w:sz w:val="12"/>
              </w:rPr>
              <w:t xml:space="preserve"> </w:t>
            </w:r>
            <w:r>
              <w:rPr>
                <w:rFonts w:ascii="Times New Roman;Times;serif" w:hAnsi="Times New Roman;Times;serif"/>
                <w:color w:val="231F20"/>
                <w:sz w:val="12"/>
              </w:rPr>
              <w:t>310</w:t>
            </w:r>
            <w:r>
              <w:rPr>
                <w:rFonts w:ascii="Aptos" w:hAnsi="Aptos"/>
                <w:color w:val="231F20"/>
                <w:spacing w:val="-6"/>
                <w:sz w:val="12"/>
              </w:rPr>
              <w:t xml:space="preserve"> </w:t>
            </w:r>
            <w:r>
              <w:rPr>
                <w:rFonts w:ascii="Times New Roman;Times;serif" w:hAnsi="Times New Roman;Times;serif"/>
                <w:color w:val="231F20"/>
                <w:sz w:val="12"/>
              </w:rPr>
              <w:t>Mountain</w:t>
            </w:r>
            <w:r>
              <w:rPr>
                <w:rFonts w:ascii="Aptos" w:hAnsi="Aptos"/>
                <w:color w:val="231F20"/>
                <w:spacing w:val="-6"/>
                <w:sz w:val="12"/>
              </w:rPr>
              <w:t xml:space="preserve"> </w:t>
            </w:r>
            <w:r>
              <w:rPr>
                <w:rFonts w:ascii="Times New Roman;Times;serif" w:hAnsi="Times New Roman;Times;serif"/>
                <w:color w:val="231F20"/>
                <w:sz w:val="12"/>
              </w:rPr>
              <w:t>View,</w:t>
            </w:r>
            <w:r>
              <w:rPr>
                <w:rFonts w:ascii="Aptos" w:hAnsi="Aptos"/>
                <w:color w:val="231F20"/>
                <w:spacing w:val="40"/>
                <w:sz w:val="12"/>
              </w:rPr>
              <w:t xml:space="preserve"> </w:t>
            </w:r>
            <w:r>
              <w:rPr>
                <w:rFonts w:ascii="Times New Roman;Times;serif" w:hAnsi="Times New Roman;Times;serif"/>
                <w:color w:val="231F20"/>
                <w:sz w:val="12"/>
              </w:rPr>
              <w:t>CA 94040 United States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52"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A-2</w:t>
            </w:r>
            <w:r>
              <w:rPr>
                <w:rFonts w:ascii="Aptos" w:hAnsi="Aptos"/>
                <w:color w:val="231F20"/>
                <w:spacing w:val="-6"/>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89"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3/30/2032</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115,591</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2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126</w:t>
            </w:r>
          </w:p>
        </w:tc>
        <w:tc>
          <w:tcPr>
            <w:tcW w:w="3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46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27</w:t>
            </w:r>
          </w:p>
        </w:tc>
      </w:tr>
      <w:tr>
        <w:trPr/>
        <w:tc>
          <w:tcPr>
            <w:tcW w:w="1051"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Total</w:t>
            </w:r>
            <w:r>
              <w:rPr>
                <w:rFonts w:ascii="Aptos" w:hAnsi="Aptos"/>
                <w:color w:val="231F20"/>
                <w:spacing w:val="-4"/>
                <w:sz w:val="12"/>
              </w:rPr>
              <w:t xml:space="preserve"> </w:t>
            </w:r>
            <w:r>
              <w:rPr>
                <w:rFonts w:ascii="Times New Roman;Times;serif" w:hAnsi="Times New Roman;Times;serif"/>
                <w:b/>
                <w:color w:val="231F20"/>
                <w:sz w:val="12"/>
              </w:rPr>
              <w:t>Healthcare</w:t>
            </w:r>
            <w:r>
              <w:rPr>
                <w:rFonts w:ascii="Aptos" w:hAnsi="Aptos"/>
                <w:color w:val="231F20"/>
                <w:spacing w:val="-4"/>
                <w:sz w:val="12"/>
              </w:rPr>
              <w:t xml:space="preserve"> </w:t>
            </w:r>
            <w:r>
              <w:rPr>
                <w:rFonts w:ascii="Times New Roman;Times;serif" w:hAnsi="Times New Roman;Times;serif"/>
                <w:b/>
                <w:color w:val="231F20"/>
                <w:sz w:val="12"/>
              </w:rPr>
              <w:t>Equipment</w:t>
            </w:r>
            <w:r>
              <w:rPr>
                <w:rFonts w:ascii="Aptos" w:hAnsi="Aptos"/>
                <w:color w:val="231F20"/>
                <w:spacing w:val="-1"/>
                <w:sz w:val="12"/>
              </w:rPr>
              <w:t xml:space="preserve"> </w:t>
            </w:r>
            <w:r>
              <w:rPr>
                <w:rFonts w:ascii="Aptos" w:hAnsi="Aptos"/>
                <w:color w:val="231F20"/>
                <w:sz w:val="12"/>
              </w:rPr>
              <w:t>–</w:t>
            </w:r>
            <w:r>
              <w:rPr>
                <w:rFonts w:ascii="Aptos" w:hAnsi="Aptos"/>
                <w:color w:val="231F20"/>
                <w:spacing w:val="-2"/>
                <w:sz w:val="12"/>
              </w:rPr>
              <w:t xml:space="preserve"> </w:t>
            </w:r>
            <w:r>
              <w:rPr>
                <w:rFonts w:ascii="Times New Roman;Times;serif" w:hAnsi="Times New Roman;Times;serif"/>
                <w:b/>
                <w:color w:val="231F20"/>
                <w:sz w:val="12"/>
              </w:rPr>
              <w:t>0.01%*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7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72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301</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46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38</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pacing w:val="-2"/>
                <w:sz w:val="12"/>
              </w:rPr>
              <w:t>Healthcare</w:t>
            </w:r>
            <w:r>
              <w:rPr>
                <w:rFonts w:ascii="Aptos" w:hAnsi="Aptos"/>
                <w:color w:val="231F20"/>
                <w:spacing w:val="9"/>
                <w:sz w:val="12"/>
              </w:rPr>
              <w:t xml:space="preserve"> </w:t>
            </w:r>
            <w:r>
              <w:rPr>
                <w:rFonts w:ascii="Times New Roman;Times;serif" w:hAnsi="Times New Roman;Times;serif"/>
                <w:b/>
                <w:color w:val="231F20"/>
                <w:spacing w:val="-2"/>
                <w:sz w:val="12"/>
              </w:rPr>
              <w:t>Technology</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7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2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color w:val="231F20"/>
                <w:spacing w:val="-5"/>
              </w:rPr>
            </w:pPr>
            <w:r>
              <w:rPr>
                <w:color w:val="231F20"/>
                <w:spacing w:val="-5"/>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Allurion Technologies, Inc.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0"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11</w:t>
            </w:r>
            <w:r>
              <w:rPr>
                <w:rFonts w:ascii="Aptos" w:hAnsi="Aptos"/>
                <w:color w:val="231F20"/>
                <w:spacing w:val="-2"/>
                <w:sz w:val="12"/>
              </w:rPr>
              <w:t xml:space="preserve"> </w:t>
            </w:r>
            <w:r>
              <w:rPr>
                <w:rFonts w:ascii="Times New Roman;Times;serif" w:hAnsi="Times New Roman;Times;serif"/>
                <w:color w:val="231F20"/>
                <w:sz w:val="12"/>
              </w:rPr>
              <w:t>Huron</w:t>
            </w:r>
            <w:r>
              <w:rPr>
                <w:rFonts w:ascii="Aptos" w:hAnsi="Aptos"/>
                <w:color w:val="231F20"/>
                <w:spacing w:val="-2"/>
                <w:sz w:val="12"/>
              </w:rPr>
              <w:t xml:space="preserve"> </w:t>
            </w:r>
            <w:r>
              <w:rPr>
                <w:rFonts w:ascii="Times New Roman;Times;serif" w:hAnsi="Times New Roman;Times;serif"/>
                <w:color w:val="231F20"/>
                <w:sz w:val="12"/>
              </w:rPr>
              <w:t>Drive</w:t>
            </w:r>
            <w:r>
              <w:rPr>
                <w:rFonts w:ascii="Aptos" w:hAnsi="Aptos"/>
                <w:color w:val="231F20"/>
                <w:spacing w:val="-2"/>
                <w:sz w:val="12"/>
              </w:rPr>
              <w:t xml:space="preserve"> </w:t>
            </w:r>
            <w:r>
              <w:rPr>
                <w:rFonts w:ascii="Times New Roman;Times;serif" w:hAnsi="Times New Roman;Times;serif"/>
                <w:color w:val="231F20"/>
                <w:sz w:val="12"/>
              </w:rPr>
              <w:t>Natick,</w:t>
            </w:r>
            <w:r>
              <w:rPr>
                <w:rFonts w:ascii="Aptos" w:hAnsi="Aptos"/>
                <w:color w:val="231F20"/>
                <w:spacing w:val="40"/>
                <w:sz w:val="12"/>
              </w:rPr>
              <w:t xml:space="preserve"> </w:t>
            </w:r>
            <w:r>
              <w:rPr>
                <w:rFonts w:ascii="Times New Roman;Times;serif" w:hAnsi="Times New Roman;Times;serif"/>
                <w:color w:val="231F20"/>
                <w:sz w:val="12"/>
              </w:rPr>
              <w:t>MA</w:t>
            </w:r>
            <w:r>
              <w:rPr>
                <w:rFonts w:ascii="Aptos" w:hAnsi="Aptos"/>
                <w:color w:val="231F20"/>
                <w:spacing w:val="-5"/>
                <w:sz w:val="12"/>
              </w:rPr>
              <w:t xml:space="preserve"> </w:t>
            </w:r>
            <w:r>
              <w:rPr>
                <w:rFonts w:ascii="Times New Roman;Times;serif" w:hAnsi="Times New Roman;Times;serif"/>
                <w:color w:val="231F20"/>
                <w:sz w:val="12"/>
              </w:rPr>
              <w:t>01760</w:t>
            </w:r>
            <w:r>
              <w:rPr>
                <w:rFonts w:ascii="Aptos" w:hAnsi="Aptos"/>
                <w:color w:val="231F20"/>
                <w:spacing w:val="-4"/>
                <w:sz w:val="12"/>
              </w:rPr>
              <w:t xml:space="preserve"> </w:t>
            </w:r>
            <w:r>
              <w:rPr>
                <w:rFonts w:ascii="Times New Roman;Times;serif" w:hAnsi="Times New Roman;Times;serif"/>
                <w:color w:val="231F20"/>
                <w:sz w:val="12"/>
              </w:rPr>
              <w:t>United</w:t>
            </w:r>
            <w:r>
              <w:rPr>
                <w:rFonts w:ascii="Aptos" w:hAnsi="Aptos"/>
                <w:color w:val="231F20"/>
                <w:spacing w:val="-4"/>
                <w:sz w:val="12"/>
              </w:rPr>
              <w:t xml:space="preserve"> </w:t>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3/30/2031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132,979</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282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65"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w:t>
            </w:r>
          </w:p>
        </w:tc>
      </w:tr>
      <w:tr>
        <w:trPr/>
        <w:tc>
          <w:tcPr>
            <w:tcW w:w="105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3/30/2031</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46,256</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141</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shd w:fill="CCEEFF" w:val="cle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r>
      <w:tr>
        <w:trPr/>
        <w:tc>
          <w:tcPr>
            <w:tcW w:w="105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9/15/2032</w:t>
            </w:r>
          </w:p>
        </w:tc>
        <w:tc>
          <w:tcPr>
            <w:tcW w:w="346" w:type="dxa"/>
            <w:tcBorders/>
            <w:vAlign w:val="center"/>
          </w:tcPr>
          <w:p>
            <w:pPr>
              <w:pStyle w:val="TableContents"/>
              <w:bidi w:val="0"/>
              <w:spacing w:lineRule="auto" w:line="328" w:before="0" w:after="160"/>
              <w:ind w:left="0" w:right="0" w:hanging="0"/>
              <w:jc w:val="center"/>
              <w:rPr/>
            </w:pPr>
            <w:r>
              <w:rPr/>
              <w:t>​</w:t>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46,256</w:t>
            </w:r>
          </w:p>
        </w:tc>
        <w:tc>
          <w:tcPr>
            <w:tcW w:w="346" w:type="dxa"/>
            <w:tcBorders/>
            <w:vAlign w:val="center"/>
          </w:tcPr>
          <w:p>
            <w:pPr>
              <w:pStyle w:val="TableContents"/>
              <w:bidi w:val="0"/>
              <w:spacing w:lineRule="auto" w:line="328" w:before="0" w:after="160"/>
              <w:ind w:left="0" w:right="0" w:hanging="0"/>
              <w:jc w:val="right"/>
              <w:rPr/>
            </w:pPr>
            <w:r>
              <w:rPr/>
              <w:t>​</w:t>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144</w:t>
            </w:r>
          </w:p>
        </w:tc>
        <w:tc>
          <w:tcPr>
            <w:tcW w:w="346" w:type="dxa"/>
            <w:tcBorders/>
            <w:vAlign w:val="center"/>
          </w:tcPr>
          <w:p>
            <w:pPr>
              <w:pStyle w:val="TableContents"/>
              <w:bidi w:val="0"/>
              <w:spacing w:lineRule="auto" w:line="328" w:before="0" w:after="160"/>
              <w:ind w:left="0" w:right="0" w:hanging="0"/>
              <w:jc w:val="right"/>
              <w:rPr/>
            </w:pPr>
            <w:r>
              <w:rPr/>
              <w:t>​</w:t>
            </w:r>
          </w:p>
        </w:tc>
        <w:tc>
          <w:tcPr>
            <w:tcW w:w="465" w:type="dxa"/>
            <w:tcBorders/>
            <w:vAlign w:val="center"/>
          </w:tcPr>
          <w:p>
            <w:pPr>
              <w:pStyle w:val="TableContents"/>
              <w:bidi w:val="0"/>
              <w:spacing w:lineRule="auto" w:line="285" w:before="0" w:after="0"/>
              <w:ind w:left="0" w:right="0" w:hanging="0"/>
              <w:jc w:val="right"/>
              <w:rPr>
                <w:color w:val="231F20"/>
                <w:spacing w:val="-10"/>
              </w:rPr>
            </w:pPr>
            <w:r>
              <w:rPr>
                <w:color w:val="231F20"/>
                <w:spacing w:val="-10"/>
              </w:rPr>
              <w:t>—</w:t>
            </w:r>
          </w:p>
        </w:tc>
      </w:tr>
      <w:tr>
        <w:trPr/>
        <w:tc>
          <w:tcPr>
            <w:tcW w:w="105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Earnout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8/1/2028</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w:t>
            </w:r>
          </w:p>
        </w:tc>
      </w:tr>
      <w:tr>
        <w:trPr/>
        <w:tc>
          <w:tcPr>
            <w:tcW w:w="1051"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EBR</w:t>
            </w:r>
            <w:r>
              <w:rPr>
                <w:rFonts w:ascii="Aptos" w:hAnsi="Aptos"/>
                <w:color w:val="231F20"/>
                <w:spacing w:val="-2"/>
                <w:sz w:val="12"/>
              </w:rPr>
              <w:t xml:space="preserve"> </w:t>
            </w:r>
            <w:r>
              <w:rPr>
                <w:rFonts w:ascii="Times New Roman;Times;serif" w:hAnsi="Times New Roman;Times;serif"/>
                <w:color w:val="231F20"/>
                <w:sz w:val="12"/>
              </w:rPr>
              <w:t>Systems,</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480</w:t>
            </w:r>
            <w:r>
              <w:rPr>
                <w:rFonts w:ascii="Times NR MT Pro" w:hAnsi="Times NR MT Pro"/>
                <w:color w:val="231F20"/>
                <w:spacing w:val="-8"/>
                <w:sz w:val="12"/>
              </w:rPr>
              <w:t xml:space="preserve"> </w:t>
            </w:r>
            <w:r>
              <w:rPr>
                <w:rFonts w:ascii="Times New Roman;Times;serif" w:hAnsi="Times New Roman;Times;serif"/>
                <w:color w:val="231F20"/>
                <w:sz w:val="12"/>
              </w:rPr>
              <w:t>Oakmead</w:t>
            </w:r>
            <w:r>
              <w:rPr>
                <w:rFonts w:ascii="Times NR MT Pro" w:hAnsi="Times NR MT Pro"/>
                <w:color w:val="231F20"/>
                <w:spacing w:val="-8"/>
                <w:sz w:val="12"/>
              </w:rPr>
              <w:t xml:space="preserve"> </w:t>
            </w:r>
            <w:r>
              <w:rPr>
                <w:rFonts w:ascii="Times New Roman;Times;serif" w:hAnsi="Times New Roman;Times;serif"/>
                <w:color w:val="231F20"/>
                <w:spacing w:val="-2"/>
                <w:sz w:val="12"/>
              </w:rPr>
              <w:t>Parkway Sunnyvale,</w:t>
            </w:r>
            <w:r>
              <w:rPr>
                <w:rFonts w:ascii="Times NR MT Pro" w:hAnsi="Times NR MT Pro"/>
                <w:color w:val="231F20"/>
                <w:spacing w:val="-7"/>
                <w:sz w:val="12"/>
              </w:rPr>
              <w:t xml:space="preserve"> </w:t>
            </w:r>
            <w:r>
              <w:rPr>
                <w:rFonts w:ascii="Times New Roman;Times;serif" w:hAnsi="Times New Roman;Times;serif"/>
                <w:color w:val="231F20"/>
                <w:spacing w:val="-2"/>
                <w:sz w:val="12"/>
              </w:rPr>
              <w:t>CA</w:t>
            </w:r>
            <w:r>
              <w:rPr>
                <w:rFonts w:ascii="Times NR MT Pro" w:hAnsi="Times NR MT Pro"/>
                <w:color w:val="231F20"/>
                <w:spacing w:val="-6"/>
                <w:sz w:val="12"/>
              </w:rPr>
              <w:t xml:space="preserve"> </w:t>
            </w:r>
            <w:r>
              <w:rPr>
                <w:rFonts w:ascii="Times New Roman;Times;serif" w:hAnsi="Times New Roman;Times;serif"/>
                <w:color w:val="231F20"/>
                <w:spacing w:val="-2"/>
                <w:sz w:val="12"/>
              </w:rPr>
              <w:t>94085</w:t>
            </w:r>
            <w:r>
              <w:rPr>
                <w:rFonts w:ascii="Times NR MT Pro" w:hAnsi="Times NR MT Pro"/>
                <w:color w:val="231F20"/>
                <w:spacing w:val="40"/>
                <w:sz w:val="12"/>
              </w:rPr>
              <w:t xml:space="preserve"> </w:t>
            </w:r>
            <w:r>
              <w:rPr>
                <w:rFonts w:ascii="Times New Roman;Times;serif" w:hAnsi="Times New Roman;Times;serif"/>
                <w:color w:val="231F20"/>
                <w:sz w:val="12"/>
              </w:rPr>
              <w:t>United</w:t>
            </w:r>
            <w:r>
              <w:rPr>
                <w:rFonts w:ascii="Times NR MT Pro" w:hAnsi="Times NR MT Pro"/>
                <w:color w:val="231F20"/>
                <w:spacing w:val="-9"/>
                <w:sz w:val="12"/>
              </w:rPr>
              <w:t xml:space="preserve"> </w:t>
            </w:r>
            <w:r>
              <w:rPr>
                <w:rFonts w:ascii="Times New Roman;Times;serif" w:hAnsi="Times New Roman;Times;serif"/>
                <w:color w:val="231F20"/>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Success</w:t>
            </w:r>
            <w:r>
              <w:rPr>
                <w:rFonts w:ascii="Aptos" w:hAnsi="Aptos"/>
                <w:color w:val="231F20"/>
                <w:spacing w:val="-6"/>
                <w:sz w:val="12"/>
              </w:rPr>
              <w:t xml:space="preserve"> </w:t>
            </w:r>
            <w:r>
              <w:rPr>
                <w:rFonts w:ascii="Times New Roman;Times;serif" w:hAnsi="Times New Roman;Times;serif"/>
                <w:color w:val="231F20"/>
                <w:spacing w:val="-5"/>
                <w:sz w:val="12"/>
              </w:rPr>
              <w:t>fee</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6/30/2032</w:t>
            </w:r>
          </w:p>
        </w:tc>
        <w:tc>
          <w:tcPr>
            <w:tcW w:w="346" w:type="dxa"/>
            <w:tcBorders/>
            <w:vAlign w:val="center"/>
          </w:tcPr>
          <w:p>
            <w:pPr>
              <w:pStyle w:val="TableContents"/>
              <w:bidi w:val="0"/>
              <w:spacing w:lineRule="auto" w:line="328" w:before="0" w:after="160"/>
              <w:ind w:left="0" w:right="0" w:hanging="0"/>
              <w:jc w:val="center"/>
              <w:rPr/>
            </w:pPr>
            <w:r>
              <w:rPr/>
              <w:t>​</w:t>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605</w:t>
            </w:r>
          </w:p>
        </w:tc>
        <w:tc>
          <w:tcPr>
            <w:tcW w:w="346" w:type="dxa"/>
            <w:tcBorders/>
            <w:vAlign w:val="center"/>
          </w:tcPr>
          <w:p>
            <w:pPr>
              <w:pStyle w:val="TableContents"/>
              <w:bidi w:val="0"/>
              <w:spacing w:lineRule="auto" w:line="328" w:before="0" w:after="160"/>
              <w:ind w:left="0" w:right="0" w:hanging="0"/>
              <w:jc w:val="right"/>
              <w:rPr/>
            </w:pPr>
            <w:r>
              <w:rPr/>
              <w:t>​</w:t>
            </w:r>
          </w:p>
        </w:tc>
        <w:tc>
          <w:tcPr>
            <w:tcW w:w="465"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633</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Mingle</w:t>
            </w:r>
            <w:r>
              <w:rPr>
                <w:rFonts w:ascii="Aptos" w:hAnsi="Aptos"/>
                <w:color w:val="231F20"/>
                <w:spacing w:val="-4"/>
                <w:sz w:val="12"/>
              </w:rPr>
              <w:t xml:space="preserve"> </w:t>
            </w:r>
            <w:r>
              <w:rPr>
                <w:rFonts w:ascii="Times New Roman;Times;serif" w:hAnsi="Times New Roman;Times;serif"/>
                <w:color w:val="231F20"/>
                <w:sz w:val="12"/>
              </w:rPr>
              <w:t>Healthcare</w:t>
            </w:r>
            <w:r>
              <w:rPr>
                <w:rFonts w:ascii="Aptos" w:hAnsi="Aptos"/>
                <w:color w:val="231F20"/>
                <w:spacing w:val="-3"/>
                <w:sz w:val="12"/>
              </w:rPr>
              <w:t xml:space="preserve"> </w:t>
            </w:r>
            <w:r>
              <w:rPr>
                <w:rFonts w:ascii="Times New Roman;Times;serif" w:hAnsi="Times New Roman;Times;serif"/>
                <w:color w:val="231F20"/>
                <w:sz w:val="12"/>
              </w:rPr>
              <w:t>Solutions,</w:t>
            </w:r>
            <w:r>
              <w:rPr>
                <w:rFonts w:ascii="Aptos" w:hAnsi="Aptos"/>
                <w:color w:val="231F20"/>
                <w:spacing w:val="-4"/>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8911 South Sandy</w:t>
            </w:r>
            <w:r>
              <w:rPr>
                <w:rFonts w:ascii="Aptos" w:hAnsi="Aptos"/>
                <w:color w:val="231F20"/>
                <w:spacing w:val="40"/>
                <w:sz w:val="12"/>
              </w:rPr>
              <w:t xml:space="preserve"> </w:t>
            </w:r>
            <w:r>
              <w:rPr>
                <w:rFonts w:ascii="Times New Roman;Times;serif" w:hAnsi="Times New Roman;Times;serif"/>
                <w:color w:val="231F20"/>
                <w:spacing w:val="-2"/>
                <w:sz w:val="12"/>
              </w:rPr>
              <w:t>Parkway</w:t>
            </w:r>
            <w:r>
              <w:rPr>
                <w:rFonts w:ascii="Aptos" w:hAnsi="Aptos"/>
                <w:color w:val="231F20"/>
                <w:spacing w:val="-7"/>
                <w:sz w:val="12"/>
              </w:rPr>
              <w:t xml:space="preserve"> </w:t>
            </w:r>
            <w:r>
              <w:rPr>
                <w:rFonts w:ascii="Times New Roman;Times;serif" w:hAnsi="Times New Roman;Times;serif"/>
                <w:color w:val="231F20"/>
                <w:spacing w:val="-2"/>
                <w:sz w:val="12"/>
              </w:rPr>
              <w:t>Suite</w:t>
            </w:r>
            <w:r>
              <w:rPr>
                <w:rFonts w:ascii="Aptos" w:hAnsi="Aptos"/>
                <w:color w:val="231F20"/>
                <w:spacing w:val="-6"/>
                <w:sz w:val="12"/>
              </w:rPr>
              <w:t xml:space="preserve"> </w:t>
            </w:r>
            <w:r>
              <w:rPr>
                <w:rFonts w:ascii="Times New Roman;Times;serif" w:hAnsi="Times New Roman;Times;serif"/>
                <w:color w:val="231F20"/>
                <w:spacing w:val="-2"/>
                <w:sz w:val="12"/>
              </w:rPr>
              <w:t>200</w:t>
            </w:r>
            <w:r>
              <w:rPr>
                <w:rFonts w:ascii="Aptos" w:hAnsi="Aptos"/>
                <w:color w:val="231F20"/>
                <w:spacing w:val="-6"/>
                <w:sz w:val="12"/>
              </w:rPr>
              <w:t xml:space="preserve"> </w:t>
            </w:r>
            <w:r>
              <w:rPr>
                <w:rFonts w:ascii="Times New Roman;Times;serif" w:hAnsi="Times New Roman;Times;serif"/>
                <w:color w:val="231F20"/>
                <w:spacing w:val="-2"/>
                <w:sz w:val="12"/>
              </w:rPr>
              <w:t>Sandy,</w:t>
            </w:r>
            <w:r>
              <w:rPr>
                <w:rFonts w:ascii="Aptos" w:hAnsi="Aptos"/>
                <w:color w:val="231F20"/>
                <w:spacing w:val="40"/>
                <w:sz w:val="12"/>
              </w:rPr>
              <w:t xml:space="preserve"> </w:t>
            </w:r>
            <w:r>
              <w:rPr>
                <w:rFonts w:ascii="Times New Roman;Times;serif" w:hAnsi="Times New Roman;Times;serif"/>
                <w:color w:val="231F20"/>
                <w:sz w:val="12"/>
              </w:rPr>
              <w:t>UT 84070 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CC</w:t>
            </w:r>
            <w:r>
              <w:rPr>
                <w:rFonts w:ascii="Aptos" w:hAnsi="Aptos"/>
                <w:color w:val="231F20"/>
                <w:spacing w:val="-6"/>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4"/>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8/15/2028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1,770,973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492</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shd w:fill="CCEEFF" w:val="cle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r>
      <w:tr>
        <w:trPr/>
        <w:tc>
          <w:tcPr>
            <w:tcW w:w="1051"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Nalu</w:t>
            </w:r>
            <w:r>
              <w:rPr>
                <w:rFonts w:ascii="Aptos" w:hAnsi="Aptos"/>
                <w:color w:val="231F20"/>
                <w:spacing w:val="-2"/>
                <w:sz w:val="12"/>
              </w:rPr>
              <w:t xml:space="preserve"> </w:t>
            </w:r>
            <w:r>
              <w:rPr>
                <w:rFonts w:ascii="Times New Roman;Times;serif" w:hAnsi="Times New Roman;Times;serif"/>
                <w:color w:val="231F20"/>
                <w:sz w:val="12"/>
              </w:rPr>
              <w:t>Medical,</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2320 Faraday</w:t>
            </w:r>
            <w:r>
              <w:rPr>
                <w:rFonts w:ascii="Times NR MT Pro" w:hAnsi="Times NR MT Pro"/>
                <w:color w:val="231F20"/>
                <w:spacing w:val="-1"/>
                <w:sz w:val="12"/>
              </w:rPr>
              <w:t xml:space="preserve"> </w:t>
            </w:r>
            <w:r>
              <w:rPr>
                <w:rFonts w:ascii="Times New Roman;Times;serif" w:hAnsi="Times New Roman;Times;serif"/>
                <w:color w:val="231F20"/>
                <w:spacing w:val="-2"/>
                <w:sz w:val="12"/>
              </w:rPr>
              <w:t xml:space="preserve">Avenue </w:t>
            </w:r>
            <w:r>
              <w:rPr>
                <w:rFonts w:ascii="Times New Roman;Times;serif" w:hAnsi="Times New Roman;Times;serif"/>
                <w:color w:val="231F20"/>
                <w:sz w:val="12"/>
              </w:rPr>
              <w:t>Suite</w:t>
            </w:r>
            <w:r>
              <w:rPr>
                <w:rFonts w:ascii="Times NR MT Pro" w:hAnsi="Times NR MT Pro"/>
                <w:color w:val="231F20"/>
                <w:spacing w:val="-4"/>
                <w:sz w:val="12"/>
              </w:rPr>
              <w:t xml:space="preserve"> </w:t>
            </w:r>
            <w:r>
              <w:rPr>
                <w:rFonts w:ascii="Times New Roman;Times;serif" w:hAnsi="Times New Roman;Times;serif"/>
                <w:color w:val="231F20"/>
                <w:sz w:val="12"/>
              </w:rPr>
              <w:t>100</w:t>
            </w:r>
            <w:r>
              <w:rPr>
                <w:rFonts w:ascii="Times NR MT Pro" w:hAnsi="Times NR MT Pro"/>
                <w:color w:val="231F20"/>
                <w:spacing w:val="-3"/>
                <w:sz w:val="12"/>
              </w:rPr>
              <w:t xml:space="preserve"> </w:t>
            </w:r>
            <w:r>
              <w:rPr>
                <w:rFonts w:ascii="Times New Roman;Times;serif" w:hAnsi="Times New Roman;Times;serif"/>
                <w:color w:val="231F20"/>
                <w:spacing w:val="-2"/>
                <w:sz w:val="12"/>
              </w:rPr>
              <w:t xml:space="preserve">Carlsbad, </w:t>
            </w:r>
            <w:r>
              <w:rPr>
                <w:rFonts w:ascii="Times New Roman;Times;serif" w:hAnsi="Times New Roman;Times;serif"/>
                <w:color w:val="231F20"/>
                <w:sz w:val="12"/>
              </w:rPr>
              <w:t>CA</w:t>
            </w:r>
            <w:r>
              <w:rPr>
                <w:rFonts w:ascii="Times NR MT Pro" w:hAnsi="Times NR MT Pro"/>
                <w:color w:val="231F20"/>
                <w:spacing w:val="-5"/>
                <w:sz w:val="12"/>
              </w:rPr>
              <w:t xml:space="preserve"> </w:t>
            </w:r>
            <w:r>
              <w:rPr>
                <w:rFonts w:ascii="Times New Roman;Times;serif" w:hAnsi="Times New Roman;Times;serif"/>
                <w:color w:val="231F20"/>
                <w:sz w:val="12"/>
              </w:rPr>
              <w:t>92008</w:t>
            </w:r>
            <w:r>
              <w:rPr>
                <w:rFonts w:ascii="Times NR MT Pro" w:hAnsi="Times NR MT Pro"/>
                <w:color w:val="231F20"/>
                <w:spacing w:val="-4"/>
                <w:sz w:val="12"/>
              </w:rPr>
              <w:t xml:space="preserve"> </w:t>
            </w:r>
            <w:r>
              <w:rPr>
                <w:rFonts w:ascii="Times New Roman;Times;serif" w:hAnsi="Times New Roman;Times;serif"/>
                <w:color w:val="231F20"/>
                <w:sz w:val="12"/>
              </w:rPr>
              <w:t>United</w:t>
            </w:r>
            <w:r>
              <w:rPr>
                <w:rFonts w:ascii="Times NR MT Pro" w:hAnsi="Times NR MT Pro"/>
                <w:color w:val="231F20"/>
                <w:spacing w:val="-4"/>
                <w:sz w:val="12"/>
              </w:rPr>
              <w:t xml:space="preserve"> </w:t>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D-2</w:t>
            </w:r>
            <w:r>
              <w:rPr>
                <w:rFonts w:ascii="Aptos" w:hAnsi="Aptos"/>
                <w:color w:val="231F20"/>
                <w:spacing w:val="-6"/>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10/12/2032</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91,717</w:t>
            </w:r>
          </w:p>
        </w:tc>
        <w:tc>
          <w:tcPr>
            <w:tcW w:w="346" w:type="dxa"/>
            <w:tcBorders/>
            <w:vAlign w:val="center"/>
          </w:tcPr>
          <w:p>
            <w:pPr>
              <w:pStyle w:val="TableContents"/>
              <w:bidi w:val="0"/>
              <w:spacing w:lineRule="auto" w:line="328" w:before="0" w:after="160"/>
              <w:ind w:left="0" w:right="0" w:hanging="0"/>
              <w:jc w:val="left"/>
              <w:rPr/>
            </w:pPr>
            <w:r>
              <w:rPr/>
              <w:t>​</w:t>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173</w:t>
            </w:r>
          </w:p>
        </w:tc>
        <w:tc>
          <w:tcPr>
            <w:tcW w:w="346" w:type="dxa"/>
            <w:tcBorders/>
            <w:vAlign w:val="center"/>
          </w:tcPr>
          <w:p>
            <w:pPr>
              <w:pStyle w:val="TableContents"/>
              <w:bidi w:val="0"/>
              <w:spacing w:lineRule="auto" w:line="328" w:before="0" w:after="160"/>
              <w:ind w:left="0" w:right="0" w:hanging="0"/>
              <w:jc w:val="right"/>
              <w:rPr/>
            </w:pPr>
            <w:r>
              <w:rPr/>
              <w:t>​</w:t>
            </w:r>
          </w:p>
        </w:tc>
        <w:tc>
          <w:tcPr>
            <w:tcW w:w="465"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74</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Onward</w:t>
            </w:r>
            <w:r>
              <w:rPr>
                <w:rFonts w:ascii="Aptos" w:hAnsi="Aptos"/>
                <w:color w:val="231F20"/>
                <w:spacing w:val="-4"/>
                <w:sz w:val="12"/>
              </w:rPr>
              <w:t xml:space="preserve"> </w:t>
            </w:r>
            <w:r>
              <w:rPr>
                <w:rFonts w:ascii="Times New Roman;Times;serif" w:hAnsi="Times New Roman;Times;serif"/>
                <w:color w:val="231F20"/>
                <w:sz w:val="12"/>
              </w:rPr>
              <w:t>Medical,</w:t>
            </w:r>
            <w:r>
              <w:rPr>
                <w:rFonts w:ascii="Aptos" w:hAnsi="Aptos"/>
                <w:color w:val="231F20"/>
                <w:spacing w:val="-3"/>
                <w:sz w:val="12"/>
              </w:rPr>
              <w:t xml:space="preserve"> </w:t>
            </w:r>
            <w:r>
              <w:rPr>
                <w:rFonts w:ascii="Times New Roman;Times;serif" w:hAnsi="Times New Roman;Times;serif"/>
                <w:color w:val="231F20"/>
                <w:sz w:val="12"/>
              </w:rPr>
              <w:t>N.V.</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Schimmelt 2 5611 ZX</w:t>
            </w:r>
            <w:r>
              <w:rPr>
                <w:rFonts w:ascii="Aptos" w:hAnsi="Aptos"/>
                <w:color w:val="231F20"/>
                <w:spacing w:val="40"/>
                <w:sz w:val="12"/>
              </w:rPr>
              <w:t xml:space="preserve"> </w:t>
            </w:r>
            <w:r>
              <w:rPr>
                <w:rFonts w:ascii="Times New Roman;Times;serif" w:hAnsi="Times New Roman;Times;serif"/>
                <w:color w:val="231F20"/>
                <w:spacing w:val="-2"/>
                <w:sz w:val="12"/>
              </w:rPr>
              <w:t>Eindhoven</w:t>
            </w:r>
            <w:r>
              <w:rPr>
                <w:rFonts w:ascii="Aptos" w:hAnsi="Aptos"/>
                <w:color w:val="231F20"/>
                <w:spacing w:val="-7"/>
                <w:sz w:val="12"/>
              </w:rPr>
              <w:t xml:space="preserve"> </w:t>
            </w:r>
            <w:r>
              <w:rPr>
                <w:rFonts w:ascii="Times New Roman;Times;serif" w:hAnsi="Times New Roman;Times;serif"/>
                <w:color w:val="231F20"/>
                <w:spacing w:val="-2"/>
                <w:sz w:val="12"/>
              </w:rPr>
              <w:t>Netherlands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9/26/2034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165,338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340</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376</w:t>
            </w:r>
          </w:p>
        </w:tc>
      </w:tr>
      <w:tr>
        <w:trPr/>
        <w:tc>
          <w:tcPr>
            <w:tcW w:w="1051"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Route</w:t>
            </w:r>
            <w:r>
              <w:rPr>
                <w:rFonts w:ascii="Aptos" w:hAnsi="Aptos"/>
                <w:color w:val="231F20"/>
                <w:spacing w:val="-3"/>
                <w:sz w:val="12"/>
              </w:rPr>
              <w:t xml:space="preserve"> </w:t>
            </w:r>
            <w:r>
              <w:rPr>
                <w:rFonts w:ascii="Times New Roman;Times;serif" w:hAnsi="Times New Roman;Times;serif"/>
                <w:color w:val="231F20"/>
                <w:sz w:val="12"/>
              </w:rPr>
              <w:t>92</w:t>
            </w:r>
            <w:r>
              <w:rPr>
                <w:rFonts w:ascii="Aptos" w:hAnsi="Aptos"/>
                <w:color w:val="231F20"/>
                <w:spacing w:val="-2"/>
                <w:sz w:val="12"/>
              </w:rPr>
              <w:t xml:space="preserve"> </w:t>
            </w:r>
            <w:r>
              <w:rPr>
                <w:rFonts w:ascii="Times New Roman;Times;serif" w:hAnsi="Times New Roman;Times;serif"/>
                <w:color w:val="231F20"/>
                <w:sz w:val="12"/>
              </w:rPr>
              <w:t>Medical,</w:t>
            </w:r>
            <w:r>
              <w:rPr>
                <w:rFonts w:ascii="Aptos" w:hAnsi="Aptos"/>
                <w:color w:val="231F20"/>
                <w:spacing w:val="-3"/>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155</w:t>
            </w:r>
            <w:r>
              <w:rPr>
                <w:rFonts w:ascii="Aptos" w:hAnsi="Aptos"/>
                <w:color w:val="231F20"/>
                <w:spacing w:val="-9"/>
                <w:sz w:val="12"/>
              </w:rPr>
              <w:t xml:space="preserve"> </w:t>
            </w:r>
            <w:r>
              <w:rPr>
                <w:rFonts w:ascii="Times New Roman;Times;serif" w:hAnsi="Times New Roman;Times;serif"/>
                <w:color w:val="231F20"/>
                <w:sz w:val="12"/>
              </w:rPr>
              <w:t>Bovet</w:t>
            </w:r>
            <w:r>
              <w:rPr>
                <w:rFonts w:ascii="Aptos" w:hAnsi="Aptos"/>
                <w:color w:val="231F20"/>
                <w:spacing w:val="-8"/>
                <w:sz w:val="12"/>
              </w:rPr>
              <w:t xml:space="preserve"> </w:t>
            </w:r>
            <w:r>
              <w:rPr>
                <w:rFonts w:ascii="Times New Roman;Times;serif" w:hAnsi="Times New Roman;Times;serif"/>
                <w:color w:val="231F20"/>
                <w:sz w:val="12"/>
              </w:rPr>
              <w:t>Road</w:t>
            </w:r>
            <w:r>
              <w:rPr>
                <w:rFonts w:ascii="Aptos" w:hAnsi="Aptos"/>
                <w:color w:val="231F20"/>
                <w:spacing w:val="-8"/>
                <w:sz w:val="12"/>
              </w:rPr>
              <w:t xml:space="preserve"> </w:t>
            </w:r>
            <w:r>
              <w:rPr>
                <w:rFonts w:ascii="Times New Roman;Times;serif" w:hAnsi="Times New Roman;Times;serif"/>
                <w:color w:val="231F20"/>
                <w:sz w:val="12"/>
              </w:rPr>
              <w:t>Suite</w:t>
            </w:r>
            <w:r>
              <w:rPr>
                <w:rFonts w:ascii="Aptos" w:hAnsi="Aptos"/>
                <w:color w:val="231F20"/>
                <w:spacing w:val="-8"/>
                <w:sz w:val="12"/>
              </w:rPr>
              <w:t xml:space="preserve"> </w:t>
            </w:r>
            <w:r>
              <w:rPr>
                <w:rFonts w:ascii="Times New Roman;Times;serif" w:hAnsi="Times New Roman;Times;serif"/>
                <w:color w:val="231F20"/>
                <w:sz w:val="12"/>
              </w:rPr>
              <w:t>100</w:t>
            </w:r>
            <w:r>
              <w:rPr>
                <w:rFonts w:ascii="Aptos" w:hAnsi="Aptos"/>
                <w:color w:val="231F20"/>
                <w:spacing w:val="40"/>
                <w:sz w:val="12"/>
              </w:rPr>
              <w:t xml:space="preserve"> </w:t>
            </w:r>
            <w:r>
              <w:rPr>
                <w:rFonts w:ascii="Times New Roman;Times;serif" w:hAnsi="Times New Roman;Times;serif"/>
                <w:color w:val="231F20"/>
                <w:sz w:val="12"/>
              </w:rPr>
              <w:t>San Mateo, CA 94402</w:t>
            </w:r>
            <w:r>
              <w:rPr>
                <w:rFonts w:ascii="Aptos" w:hAnsi="Aptos"/>
                <w:color w:val="231F20"/>
                <w:spacing w:val="40"/>
                <w:sz w:val="12"/>
              </w:rPr>
              <w:t xml:space="preserve"> </w:t>
            </w:r>
            <w:r>
              <w:rPr>
                <w:rFonts w:ascii="Times New Roman;Times;serif" w:hAnsi="Times New Roman;Times;serif"/>
                <w:color w:val="231F20"/>
                <w:sz w:val="12"/>
              </w:rP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Success</w:t>
            </w:r>
            <w:r>
              <w:rPr>
                <w:rFonts w:ascii="Aptos" w:hAnsi="Aptos"/>
                <w:color w:val="231F20"/>
                <w:spacing w:val="-6"/>
                <w:sz w:val="12"/>
              </w:rPr>
              <w:t xml:space="preserve"> </w:t>
            </w:r>
            <w:r>
              <w:rPr>
                <w:rFonts w:ascii="Times New Roman;Times;serif" w:hAnsi="Times New Roman;Times;serif"/>
                <w:color w:val="231F20"/>
                <w:spacing w:val="-5"/>
                <w:sz w:val="12"/>
              </w:rPr>
              <w:t>fee</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8/17/2031</w:t>
            </w:r>
          </w:p>
        </w:tc>
        <w:tc>
          <w:tcPr>
            <w:tcW w:w="346" w:type="dxa"/>
            <w:tcBorders/>
            <w:vAlign w:val="center"/>
          </w:tcPr>
          <w:p>
            <w:pPr>
              <w:pStyle w:val="TableContents"/>
              <w:bidi w:val="0"/>
              <w:spacing w:lineRule="auto" w:line="328" w:before="0" w:after="160"/>
              <w:ind w:left="0" w:right="0" w:hanging="0"/>
              <w:jc w:val="center"/>
              <w:rPr/>
            </w:pPr>
            <w:r>
              <w:rPr/>
              <w:t>​</w:t>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835</w:t>
            </w:r>
          </w:p>
        </w:tc>
        <w:tc>
          <w:tcPr>
            <w:tcW w:w="346" w:type="dxa"/>
            <w:tcBorders/>
            <w:vAlign w:val="center"/>
          </w:tcPr>
          <w:p>
            <w:pPr>
              <w:pStyle w:val="TableContents"/>
              <w:bidi w:val="0"/>
              <w:spacing w:lineRule="auto" w:line="328" w:before="0" w:after="160"/>
              <w:ind w:left="0" w:right="0" w:hanging="0"/>
              <w:jc w:val="right"/>
              <w:rPr/>
            </w:pPr>
            <w:r>
              <w:rPr/>
              <w:t>​</w:t>
            </w:r>
          </w:p>
        </w:tc>
        <w:tc>
          <w:tcPr>
            <w:tcW w:w="465"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847</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SetPoint</w:t>
            </w:r>
            <w:r>
              <w:rPr>
                <w:rFonts w:ascii="Aptos" w:hAnsi="Aptos"/>
                <w:color w:val="231F20"/>
                <w:spacing w:val="-4"/>
                <w:sz w:val="12"/>
              </w:rPr>
              <w:t xml:space="preserve"> </w:t>
            </w:r>
            <w:r>
              <w:rPr>
                <w:rFonts w:ascii="Times New Roman;Times;serif" w:hAnsi="Times New Roman;Times;serif"/>
                <w:color w:val="231F20"/>
                <w:sz w:val="12"/>
              </w:rPr>
              <w:t>Medical</w:t>
            </w:r>
            <w:r>
              <w:rPr>
                <w:rFonts w:ascii="Aptos" w:hAnsi="Aptos"/>
                <w:color w:val="231F20"/>
                <w:spacing w:val="-3"/>
                <w:sz w:val="12"/>
              </w:rPr>
              <w:t xml:space="preserve"> </w:t>
            </w:r>
            <w:r>
              <w:rPr>
                <w:rFonts w:ascii="Times New Roman;Times;serif" w:hAnsi="Times New Roman;Times;serif"/>
                <w:color w:val="231F20"/>
                <w:sz w:val="12"/>
              </w:rPr>
              <w:t>Corporation</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pacing w:val="-2"/>
                <w:sz w:val="12"/>
              </w:rPr>
              <w:t>25101</w:t>
            </w:r>
            <w:r>
              <w:rPr>
                <w:rFonts w:ascii="Aptos" w:hAnsi="Aptos"/>
                <w:color w:val="231F20"/>
                <w:spacing w:val="-7"/>
                <w:sz w:val="12"/>
              </w:rPr>
              <w:t xml:space="preserve"> </w:t>
            </w:r>
            <w:r>
              <w:rPr>
                <w:rFonts w:ascii="Times New Roman;Times;serif" w:hAnsi="Times New Roman;Times;serif"/>
                <w:color w:val="231F20"/>
                <w:spacing w:val="-2"/>
                <w:sz w:val="12"/>
              </w:rPr>
              <w:t>Rye</w:t>
            </w:r>
            <w:r>
              <w:rPr>
                <w:rFonts w:ascii="Aptos" w:hAnsi="Aptos"/>
                <w:color w:val="231F20"/>
                <w:spacing w:val="-6"/>
                <w:sz w:val="12"/>
              </w:rPr>
              <w:t xml:space="preserve"> </w:t>
            </w:r>
            <w:r>
              <w:rPr>
                <w:rFonts w:ascii="Times New Roman;Times;serif" w:hAnsi="Times New Roman;Times;serif"/>
                <w:color w:val="231F20"/>
                <w:spacing w:val="-2"/>
                <w:sz w:val="12"/>
              </w:rPr>
              <w:t>Canyon</w:t>
            </w:r>
            <w:r>
              <w:rPr>
                <w:rFonts w:ascii="Aptos" w:hAnsi="Aptos"/>
                <w:color w:val="231F20"/>
                <w:spacing w:val="-6"/>
                <w:sz w:val="12"/>
              </w:rPr>
              <w:t xml:space="preserve"> </w:t>
            </w:r>
            <w:r>
              <w:rPr>
                <w:rFonts w:ascii="Times New Roman;Times;serif" w:hAnsi="Times New Roman;Times;serif"/>
                <w:color w:val="231F20"/>
                <w:spacing w:val="-2"/>
                <w:sz w:val="12"/>
              </w:rPr>
              <w:t>Loop</w:t>
            </w:r>
            <w:r>
              <w:rPr>
                <w:rFonts w:ascii="Aptos" w:hAnsi="Aptos"/>
                <w:color w:val="231F20"/>
                <w:spacing w:val="40"/>
                <w:sz w:val="12"/>
              </w:rPr>
              <w:t xml:space="preserve"> </w:t>
            </w:r>
            <w:r>
              <w:rPr>
                <w:rFonts w:ascii="Times New Roman;Times;serif" w:hAnsi="Times New Roman;Times;serif"/>
                <w:color w:val="231F20"/>
                <w:sz w:val="12"/>
              </w:rPr>
              <w:t>Valencia, CA 91355</w:t>
            </w:r>
            <w:r>
              <w:rPr>
                <w:rFonts w:ascii="Aptos" w:hAnsi="Aptos"/>
                <w:color w:val="231F20"/>
                <w:spacing w:val="40"/>
                <w:sz w:val="12"/>
              </w:rPr>
              <w:t xml:space="preserve"> </w:t>
            </w:r>
            <w:r>
              <w:rPr>
                <w:rFonts w:ascii="Times New Roman;Times;serif" w:hAnsi="Times New Roman;Times;serif"/>
                <w:color w:val="231F20"/>
                <w:sz w:val="12"/>
              </w:rP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B</w:t>
            </w:r>
            <w:r>
              <w:rPr>
                <w:rFonts w:ascii="Aptos" w:hAnsi="Aptos"/>
                <w:color w:val="231F20"/>
                <w:spacing w:val="-5"/>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6/29/2031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400,000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14</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190</w:t>
            </w:r>
          </w:p>
        </w:tc>
      </w:tr>
      <w:tr>
        <w:trPr/>
        <w:tc>
          <w:tcPr>
            <w:tcW w:w="105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B</w:t>
            </w:r>
            <w:r>
              <w:rPr>
                <w:rFonts w:ascii="Aptos" w:hAnsi="Aptos"/>
                <w:color w:val="231F20"/>
                <w:spacing w:val="-5"/>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12/29/2032</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600,000</w:t>
            </w:r>
          </w:p>
        </w:tc>
        <w:tc>
          <w:tcPr>
            <w:tcW w:w="346" w:type="dxa"/>
            <w:tcBorders/>
            <w:vAlign w:val="center"/>
          </w:tcPr>
          <w:p>
            <w:pPr>
              <w:pStyle w:val="TableContents"/>
              <w:bidi w:val="0"/>
              <w:spacing w:lineRule="auto" w:line="328" w:before="0" w:after="160"/>
              <w:ind w:left="0" w:right="0" w:hanging="0"/>
              <w:jc w:val="left"/>
              <w:rPr/>
            </w:pPr>
            <w:r>
              <w:rPr/>
              <w:t>​</w:t>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74</w:t>
            </w:r>
          </w:p>
        </w:tc>
        <w:tc>
          <w:tcPr>
            <w:tcW w:w="346" w:type="dxa"/>
            <w:tcBorders/>
            <w:vAlign w:val="center"/>
          </w:tcPr>
          <w:p>
            <w:pPr>
              <w:pStyle w:val="TableContents"/>
              <w:bidi w:val="0"/>
              <w:spacing w:lineRule="auto" w:line="328" w:before="0" w:after="160"/>
              <w:ind w:left="0" w:right="0" w:hanging="0"/>
              <w:jc w:val="right"/>
              <w:rPr/>
            </w:pPr>
            <w:r>
              <w:rPr/>
              <w:t>​</w:t>
            </w:r>
          </w:p>
        </w:tc>
        <w:tc>
          <w:tcPr>
            <w:tcW w:w="465"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285</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VERO</w:t>
            </w:r>
            <w:r>
              <w:rPr>
                <w:rFonts w:ascii="Aptos" w:hAnsi="Aptos"/>
                <w:color w:val="231F20"/>
                <w:spacing w:val="-3"/>
                <w:sz w:val="12"/>
              </w:rPr>
              <w:t xml:space="preserve"> </w:t>
            </w:r>
            <w:r>
              <w:rPr>
                <w:rFonts w:ascii="Times New Roman;Times;serif" w:hAnsi="Times New Roman;Times;serif"/>
                <w:color w:val="231F20"/>
                <w:sz w:val="12"/>
              </w:rPr>
              <w:t>Biotech</w:t>
            </w:r>
            <w:r>
              <w:rPr>
                <w:rFonts w:ascii="Aptos" w:hAnsi="Aptos"/>
                <w:color w:val="231F20"/>
                <w:spacing w:val="-2"/>
                <w:sz w:val="12"/>
              </w:rPr>
              <w:t xml:space="preserve"> </w:t>
            </w:r>
            <w:r>
              <w:rPr>
                <w:rFonts w:ascii="Times New Roman;Times;serif" w:hAnsi="Times New Roman;Times;serif"/>
                <w:color w:val="231F20"/>
                <w:sz w:val="12"/>
              </w:rPr>
              <w:t>LLC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387 Technology Circle</w:t>
            </w:r>
            <w:r>
              <w:rPr>
                <w:rFonts w:ascii="Aptos" w:hAnsi="Aptos"/>
                <w:color w:val="231F20"/>
                <w:spacing w:val="40"/>
                <w:sz w:val="12"/>
              </w:rPr>
              <w:t xml:space="preserve"> </w:t>
            </w:r>
            <w:r>
              <w:rPr>
                <w:rFonts w:ascii="Times New Roman;Times;serif" w:hAnsi="Times New Roman;Times;serif"/>
                <w:color w:val="231F20"/>
                <w:sz w:val="12"/>
              </w:rPr>
              <w:t>North West Suite 125</w:t>
            </w:r>
            <w:r>
              <w:rPr>
                <w:rFonts w:ascii="Aptos" w:hAnsi="Aptos"/>
                <w:color w:val="231F20"/>
                <w:spacing w:val="40"/>
                <w:sz w:val="12"/>
              </w:rPr>
              <w:t xml:space="preserve"> </w:t>
            </w:r>
            <w:r>
              <w:rPr>
                <w:rFonts w:ascii="Times New Roman;Times;serif" w:hAnsi="Times New Roman;Times;serif"/>
                <w:color w:val="231F20"/>
                <w:sz w:val="12"/>
              </w:rPr>
              <w:t>Atlanta,</w:t>
            </w:r>
            <w:r>
              <w:rPr>
                <w:rFonts w:ascii="Aptos" w:hAnsi="Aptos"/>
                <w:color w:val="231F20"/>
                <w:spacing w:val="-9"/>
                <w:sz w:val="12"/>
              </w:rPr>
              <w:t xml:space="preserve"> </w:t>
            </w:r>
            <w:r>
              <w:rPr>
                <w:rFonts w:ascii="Times New Roman;Times;serif" w:hAnsi="Times New Roman;Times;serif"/>
                <w:color w:val="231F20"/>
                <w:sz w:val="12"/>
              </w:rPr>
              <w:t>GA</w:t>
            </w:r>
            <w:r>
              <w:rPr>
                <w:rFonts w:ascii="Aptos" w:hAnsi="Aptos"/>
                <w:color w:val="231F20"/>
                <w:spacing w:val="-8"/>
                <w:sz w:val="12"/>
              </w:rPr>
              <w:t xml:space="preserve"> </w:t>
            </w:r>
            <w:r>
              <w:rPr>
                <w:rFonts w:ascii="Times New Roman;Times;serif" w:hAnsi="Times New Roman;Times;serif"/>
                <w:color w:val="231F20"/>
                <w:sz w:val="12"/>
              </w:rPr>
              <w:t>30313</w:t>
            </w:r>
            <w:r>
              <w:rPr>
                <w:rFonts w:ascii="Aptos" w:hAnsi="Aptos"/>
                <w:color w:val="231F20"/>
                <w:spacing w:val="-8"/>
                <w:sz w:val="12"/>
              </w:rPr>
              <w:t xml:space="preserve"> </w:t>
            </w:r>
            <w:r>
              <w:rPr>
                <w:rFonts w:ascii="Times New Roman;Times;serif" w:hAnsi="Times New Roman;Times;serif"/>
                <w:color w:val="231F20"/>
                <w:sz w:val="12"/>
              </w:rPr>
              <w:t>United</w:t>
            </w:r>
            <w:r>
              <w:rPr>
                <w:rFonts w:ascii="Aptos" w:hAnsi="Aptos"/>
                <w:color w:val="231F20"/>
                <w:spacing w:val="40"/>
                <w:sz w:val="12"/>
              </w:rPr>
              <w:t xml:space="preserve"> </w:t>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Success</w:t>
            </w:r>
            <w:r>
              <w:rPr>
                <w:rFonts w:ascii="Aptos" w:hAnsi="Aptos"/>
                <w:color w:val="231F20"/>
                <w:spacing w:val="-6"/>
                <w:sz w:val="12"/>
              </w:rPr>
              <w:t xml:space="preserve"> </w:t>
            </w:r>
            <w:r>
              <w:rPr>
                <w:rFonts w:ascii="Times New Roman;Times;serif" w:hAnsi="Times New Roman;Times;serif"/>
                <w:color w:val="231F20"/>
                <w:spacing w:val="-5"/>
                <w:sz w:val="12"/>
              </w:rPr>
              <w:t>fee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12/29/2025</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377</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4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137</w:t>
            </w:r>
          </w:p>
        </w:tc>
      </w:tr>
      <w:tr>
        <w:trPr/>
        <w:tc>
          <w:tcPr>
            <w:tcW w:w="1051"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Total</w:t>
            </w:r>
            <w:r>
              <w:rPr>
                <w:rFonts w:ascii="Aptos" w:hAnsi="Aptos"/>
                <w:color w:val="231F20"/>
                <w:spacing w:val="-6"/>
                <w:sz w:val="12"/>
              </w:rPr>
              <w:t xml:space="preserve"> </w:t>
            </w:r>
            <w:r>
              <w:rPr>
                <w:rFonts w:ascii="Times New Roman;Times;serif" w:hAnsi="Times New Roman;Times;serif"/>
                <w:b/>
                <w:color w:val="231F20"/>
                <w:sz w:val="12"/>
              </w:rPr>
              <w:t>Healthcare</w:t>
            </w:r>
            <w:r>
              <w:rPr>
                <w:rFonts w:ascii="Aptos" w:hAnsi="Aptos"/>
                <w:color w:val="231F20"/>
                <w:spacing w:val="-5"/>
                <w:sz w:val="12"/>
              </w:rPr>
              <w:t xml:space="preserve"> </w:t>
            </w:r>
            <w:r>
              <w:rPr>
                <w:rFonts w:ascii="Times New Roman;Times;serif" w:hAnsi="Times New Roman;Times;serif"/>
                <w:b/>
                <w:color w:val="231F20"/>
                <w:sz w:val="12"/>
              </w:rPr>
              <w:t>Technology</w:t>
            </w:r>
            <w:r>
              <w:rPr>
                <w:rFonts w:ascii="Aptos" w:hAnsi="Aptos"/>
                <w:color w:val="231F20"/>
                <w:spacing w:val="-2"/>
                <w:sz w:val="12"/>
              </w:rPr>
              <w:t xml:space="preserve"> </w:t>
            </w:r>
            <w:r>
              <w:rPr>
                <w:rFonts w:ascii="Aptos" w:hAnsi="Aptos"/>
                <w:color w:val="231F20"/>
                <w:sz w:val="12"/>
              </w:rPr>
              <w:t>–</w:t>
            </w:r>
            <w:r>
              <w:rPr>
                <w:rFonts w:ascii="Aptos" w:hAnsi="Aptos"/>
                <w:color w:val="231F20"/>
                <w:spacing w:val="-3"/>
                <w:sz w:val="12"/>
              </w:rPr>
              <w:t xml:space="preserve"> </w:t>
            </w:r>
            <w:r>
              <w:rPr>
                <w:rFonts w:ascii="Times New Roman;Times;serif" w:hAnsi="Times New Roman;Times;serif"/>
                <w:b/>
                <w:color w:val="231F20"/>
                <w:sz w:val="12"/>
              </w:rPr>
              <w:t>0.50%*</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3,477</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46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2,544</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pacing w:val="-2"/>
                <w:sz w:val="12"/>
              </w:rPr>
              <w:t>Human</w:t>
            </w:r>
            <w:r>
              <w:rPr>
                <w:rFonts w:ascii="Aptos" w:hAnsi="Aptos"/>
                <w:color w:val="231F20"/>
                <w:spacing w:val="3"/>
                <w:sz w:val="12"/>
              </w:rPr>
              <w:t xml:space="preserve"> </w:t>
            </w:r>
            <w:r>
              <w:rPr>
                <w:rFonts w:ascii="Times New Roman;Times;serif" w:hAnsi="Times New Roman;Times;serif"/>
                <w:b/>
                <w:color w:val="231F20"/>
                <w:spacing w:val="-2"/>
                <w:sz w:val="12"/>
              </w:rPr>
              <w:t>Resource</w:t>
            </w:r>
            <w:r>
              <w:rPr>
                <w:rFonts w:ascii="Aptos" w:hAnsi="Aptos"/>
                <w:color w:val="231F20"/>
                <w:spacing w:val="4"/>
                <w:sz w:val="12"/>
              </w:rPr>
              <w:t xml:space="preserve"> </w:t>
            </w:r>
            <w:r>
              <w:rPr>
                <w:rFonts w:ascii="Times New Roman;Times;serif" w:hAnsi="Times New Roman;Times;serif"/>
                <w:b/>
                <w:color w:val="231F20"/>
                <w:spacing w:val="-2"/>
                <w:sz w:val="12"/>
              </w:rPr>
              <w:t>&amp;</w:t>
            </w:r>
            <w:r>
              <w:rPr>
                <w:rFonts w:ascii="Aptos" w:hAnsi="Aptos"/>
                <w:color w:val="231F20"/>
                <w:spacing w:val="3"/>
                <w:sz w:val="12"/>
              </w:rPr>
              <w:t xml:space="preserve"> </w:t>
            </w:r>
            <w:r>
              <w:rPr>
                <w:rFonts w:ascii="Times New Roman;Times;serif" w:hAnsi="Times New Roman;Times;serif"/>
                <w:b/>
                <w:color w:val="231F20"/>
                <w:spacing w:val="-2"/>
                <w:sz w:val="12"/>
              </w:rPr>
              <w:t>Employment</w:t>
            </w:r>
            <w:r>
              <w:rPr>
                <w:rFonts w:ascii="Aptos" w:hAnsi="Aptos"/>
                <w:color w:val="231F20"/>
                <w:spacing w:val="4"/>
                <w:sz w:val="12"/>
              </w:rPr>
              <w:t xml:space="preserve"> </w:t>
            </w:r>
            <w:r>
              <w:rPr>
                <w:rFonts w:ascii="Times New Roman;Times;serif" w:hAnsi="Times New Roman;Times;serif"/>
                <w:b/>
                <w:color w:val="231F20"/>
                <w:spacing w:val="-2"/>
                <w:sz w:val="12"/>
              </w:rPr>
              <w:t>Services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1051"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CloudPay,</w:t>
            </w:r>
            <w:r>
              <w:rPr>
                <w:rFonts w:ascii="Aptos" w:hAnsi="Aptos"/>
                <w:color w:val="231F20"/>
                <w:spacing w:val="-3"/>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Kingsgate</w:t>
            </w:r>
            <w:r>
              <w:rPr>
                <w:rFonts w:ascii="Aptos" w:hAnsi="Aptos"/>
                <w:color w:val="231F20"/>
                <w:spacing w:val="-9"/>
                <w:sz w:val="12"/>
              </w:rPr>
              <w:t xml:space="preserve"> </w:t>
            </w:r>
            <w:r>
              <w:rPr>
                <w:rFonts w:ascii="Times New Roman;Times;serif" w:hAnsi="Times New Roman;Times;serif"/>
                <w:color w:val="231F20"/>
                <w:sz w:val="12"/>
              </w:rPr>
              <w:t>House,</w:t>
            </w:r>
            <w:r>
              <w:rPr>
                <w:rFonts w:ascii="Aptos" w:hAnsi="Aptos"/>
                <w:color w:val="231F20"/>
                <w:spacing w:val="40"/>
                <w:sz w:val="12"/>
              </w:rPr>
              <w:t xml:space="preserve"> </w:t>
            </w:r>
            <w:r>
              <w:rPr>
                <w:rFonts w:ascii="Times New Roman;Times;serif" w:hAnsi="Times New Roman;Times;serif"/>
                <w:color w:val="231F20"/>
                <w:spacing w:val="-2"/>
                <w:sz w:val="12"/>
              </w:rPr>
              <w:t>Newbury</w:t>
            </w:r>
            <w:r>
              <w:rPr>
                <w:rFonts w:ascii="Aptos" w:hAnsi="Aptos"/>
                <w:color w:val="231F20"/>
                <w:spacing w:val="-7"/>
                <w:sz w:val="12"/>
              </w:rPr>
              <w:t xml:space="preserve"> </w:t>
            </w:r>
            <w:r>
              <w:rPr>
                <w:rFonts w:ascii="Times New Roman;Times;serif" w:hAnsi="Times New Roman;Times;serif"/>
                <w:color w:val="231F20"/>
                <w:spacing w:val="-2"/>
                <w:sz w:val="12"/>
              </w:rPr>
              <w:t>Road</w:t>
            </w:r>
            <w:r>
              <w:rPr>
                <w:rFonts w:ascii="Aptos" w:hAnsi="Aptos"/>
                <w:color w:val="231F20"/>
                <w:spacing w:val="-6"/>
                <w:sz w:val="12"/>
              </w:rPr>
              <w:t xml:space="preserve"> </w:t>
            </w:r>
            <w:r>
              <w:rPr>
                <w:rFonts w:ascii="Times New Roman;Times;serif" w:hAnsi="Times New Roman;Times;serif"/>
                <w:color w:val="231F20"/>
                <w:spacing w:val="-2"/>
                <w:sz w:val="12"/>
              </w:rPr>
              <w:t>Andover</w:t>
            </w:r>
            <w:r>
              <w:rPr>
                <w:rFonts w:ascii="Aptos" w:hAnsi="Aptos"/>
                <w:color w:val="231F20"/>
                <w:spacing w:val="40"/>
                <w:sz w:val="12"/>
              </w:rPr>
              <w:t xml:space="preserve"> </w:t>
            </w:r>
            <w:r>
              <w:rPr>
                <w:rFonts w:ascii="Times New Roman;Times;serif" w:hAnsi="Times New Roman;Times;serif"/>
                <w:color w:val="231F20"/>
                <w:sz w:val="12"/>
              </w:rPr>
              <w:t>SP10 4DU England,</w:t>
            </w:r>
            <w:r>
              <w:rPr>
                <w:rFonts w:ascii="Aptos" w:hAnsi="Aptos"/>
                <w:color w:val="231F20"/>
                <w:spacing w:val="40"/>
                <w:sz w:val="12"/>
              </w:rPr>
              <w:t xml:space="preserve"> </w:t>
            </w:r>
            <w:r>
              <w:rPr>
                <w:rFonts w:ascii="Times New Roman;Times;serif" w:hAnsi="Times New Roman;Times;serif"/>
                <w:color w:val="231F20"/>
                <w:sz w:val="12"/>
              </w:rPr>
              <w:t>United</w:t>
            </w:r>
            <w:r>
              <w:rPr>
                <w:rFonts w:ascii="Aptos" w:hAnsi="Aptos"/>
                <w:color w:val="231F20"/>
                <w:spacing w:val="-9"/>
                <w:sz w:val="12"/>
              </w:rPr>
              <w:t xml:space="preserve"> </w:t>
            </w:r>
            <w:r>
              <w:rPr>
                <w:rFonts w:ascii="Times New Roman;Times;serif" w:hAnsi="Times New Roman;Times;serif"/>
                <w:color w:val="231F20"/>
                <w:sz w:val="12"/>
              </w:rPr>
              <w:t>Kingdom</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B</w:t>
            </w:r>
            <w:r>
              <w:rPr>
                <w:rFonts w:ascii="Aptos" w:hAnsi="Aptos"/>
                <w:color w:val="231F20"/>
                <w:spacing w:val="-5"/>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6/30/2030</w:t>
            </w:r>
          </w:p>
        </w:tc>
        <w:tc>
          <w:tcPr>
            <w:tcW w:w="346" w:type="dxa"/>
            <w:tcBorders/>
            <w:vAlign w:val="center"/>
          </w:tcPr>
          <w:p>
            <w:pPr>
              <w:pStyle w:val="TableContents"/>
              <w:bidi w:val="0"/>
              <w:spacing w:lineRule="auto" w:line="328" w:before="0" w:after="160"/>
              <w:ind w:left="0" w:right="0" w:hanging="0"/>
              <w:jc w:val="center"/>
              <w:rPr/>
            </w:pPr>
            <w:r>
              <w:rPr/>
              <w:t>​</w:t>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11,273</w:t>
            </w:r>
          </w:p>
        </w:tc>
        <w:tc>
          <w:tcPr>
            <w:tcW w:w="346" w:type="dxa"/>
            <w:tcBorders/>
            <w:vAlign w:val="center"/>
          </w:tcPr>
          <w:p>
            <w:pPr>
              <w:pStyle w:val="TableContents"/>
              <w:bidi w:val="0"/>
              <w:spacing w:lineRule="auto" w:line="328" w:before="0" w:after="160"/>
              <w:ind w:left="0" w:right="0" w:hanging="0"/>
              <w:jc w:val="right"/>
              <w:rPr/>
            </w:pPr>
            <w:r>
              <w:rPr/>
              <w:t>​</w:t>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218</w:t>
            </w:r>
          </w:p>
        </w:tc>
        <w:tc>
          <w:tcPr>
            <w:tcW w:w="346" w:type="dxa"/>
            <w:tcBorders/>
            <w:vAlign w:val="center"/>
          </w:tcPr>
          <w:p>
            <w:pPr>
              <w:pStyle w:val="TableContents"/>
              <w:bidi w:val="0"/>
              <w:spacing w:lineRule="auto" w:line="328" w:before="0" w:after="160"/>
              <w:ind w:left="0" w:right="0" w:hanging="0"/>
              <w:jc w:val="right"/>
              <w:rPr/>
            </w:pPr>
            <w:r>
              <w:rPr/>
              <w:t>​</w:t>
            </w:r>
          </w:p>
        </w:tc>
        <w:tc>
          <w:tcPr>
            <w:tcW w:w="465"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1,316</w:t>
            </w:r>
          </w:p>
        </w:tc>
      </w:tr>
      <w:tr>
        <w:trPr/>
        <w:tc>
          <w:tcPr>
            <w:tcW w:w="1051"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D</w:t>
            </w:r>
            <w:r>
              <w:rPr>
                <w:rFonts w:ascii="Aptos" w:hAnsi="Aptos"/>
                <w:color w:val="231F20"/>
                <w:spacing w:val="-5"/>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8/17/2031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3,502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52</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83</w:t>
            </w:r>
          </w:p>
        </w:tc>
      </w:tr>
      <w:tr>
        <w:trPr/>
        <w:tc>
          <w:tcPr>
            <w:tcW w:w="105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D</w:t>
            </w:r>
            <w:r>
              <w:rPr>
                <w:rFonts w:ascii="Aptos" w:hAnsi="Aptos"/>
                <w:color w:val="231F20"/>
                <w:spacing w:val="-5"/>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9/26/2032</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5,252</w:t>
            </w:r>
          </w:p>
        </w:tc>
        <w:tc>
          <w:tcPr>
            <w:tcW w:w="346" w:type="dxa"/>
            <w:tcBorders/>
            <w:vAlign w:val="center"/>
          </w:tcPr>
          <w:p>
            <w:pPr>
              <w:pStyle w:val="TableContents"/>
              <w:bidi w:val="0"/>
              <w:spacing w:lineRule="auto" w:line="328" w:before="0" w:after="160"/>
              <w:ind w:left="0" w:right="0" w:hanging="0"/>
              <w:jc w:val="left"/>
              <w:rPr/>
            </w:pPr>
            <w:r>
              <w:rPr/>
              <w:t>​</w:t>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176</w:t>
            </w:r>
          </w:p>
        </w:tc>
        <w:tc>
          <w:tcPr>
            <w:tcW w:w="346" w:type="dxa"/>
            <w:tcBorders/>
            <w:vAlign w:val="center"/>
          </w:tcPr>
          <w:p>
            <w:pPr>
              <w:pStyle w:val="TableContents"/>
              <w:bidi w:val="0"/>
              <w:spacing w:lineRule="auto" w:line="328" w:before="0" w:after="160"/>
              <w:ind w:left="0" w:right="0" w:hanging="0"/>
              <w:jc w:val="right"/>
              <w:rPr/>
            </w:pPr>
            <w:r>
              <w:rPr/>
              <w:t>​</w:t>
            </w:r>
          </w:p>
        </w:tc>
        <w:tc>
          <w:tcPr>
            <w:tcW w:w="465"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125</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Snagajob.com,</w:t>
            </w:r>
            <w:r>
              <w:rPr>
                <w:rFonts w:ascii="Aptos" w:hAnsi="Aptos"/>
                <w:color w:val="231F20"/>
                <w:spacing w:val="-3"/>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50 Milk Street Boston,</w:t>
            </w:r>
            <w:r>
              <w:rPr>
                <w:rFonts w:ascii="Aptos" w:hAnsi="Aptos"/>
                <w:color w:val="231F20"/>
                <w:spacing w:val="40"/>
                <w:sz w:val="12"/>
              </w:rPr>
              <w:t xml:space="preserve"> </w:t>
            </w:r>
            <w:r>
              <w:rPr>
                <w:rFonts w:ascii="Times New Roman;Times;serif" w:hAnsi="Times New Roman;Times;serif"/>
                <w:color w:val="231F20"/>
                <w:sz w:val="12"/>
              </w:rPr>
              <w:t>MA</w:t>
            </w:r>
            <w:r>
              <w:rPr>
                <w:rFonts w:ascii="Aptos" w:hAnsi="Aptos"/>
                <w:color w:val="231F20"/>
                <w:spacing w:val="-9"/>
                <w:sz w:val="12"/>
              </w:rPr>
              <w:t xml:space="preserve"> </w:t>
            </w:r>
            <w:r>
              <w:rPr>
                <w:rFonts w:ascii="Times New Roman;Times;serif" w:hAnsi="Times New Roman;Times;serif"/>
                <w:color w:val="231F20"/>
                <w:sz w:val="12"/>
              </w:rPr>
              <w:t>02109</w:t>
            </w:r>
            <w:r>
              <w:rPr>
                <w:rFonts w:ascii="Aptos" w:hAnsi="Aptos"/>
                <w:color w:val="231F20"/>
                <w:spacing w:val="-8"/>
                <w:sz w:val="12"/>
              </w:rPr>
              <w:t xml:space="preserve"> </w:t>
            </w:r>
            <w:r>
              <w:rPr>
                <w:rFonts w:ascii="Times New Roman;Times;serif" w:hAnsi="Times New Roman;Times;serif"/>
                <w:color w:val="231F20"/>
                <w:sz w:val="12"/>
              </w:rPr>
              <w:t>United</w:t>
            </w:r>
            <w:r>
              <w:rPr>
                <w:rFonts w:ascii="Aptos" w:hAnsi="Aptos"/>
                <w:color w:val="231F20"/>
                <w:spacing w:val="-8"/>
                <w:sz w:val="12"/>
              </w:rPr>
              <w:t xml:space="preserve"> </w:t>
            </w:r>
            <w:r>
              <w:rPr>
                <w:rFonts w:ascii="Times New Roman;Times;serif" w:hAnsi="Times New Roman;Times;serif"/>
                <w:color w:val="231F20"/>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Series</w:t>
            </w:r>
            <w:r>
              <w:rPr>
                <w:rFonts w:ascii="Aptos" w:hAnsi="Aptos"/>
                <w:color w:val="231F20"/>
                <w:spacing w:val="-6"/>
                <w:sz w:val="12"/>
              </w:rPr>
              <w:t xml:space="preserve"> </w:t>
            </w:r>
            <w:r>
              <w:rPr>
                <w:rFonts w:ascii="Times New Roman;Times;serif" w:hAnsi="Times New Roman;Times;serif"/>
                <w:color w:val="231F20"/>
                <w:sz w:val="12"/>
              </w:rPr>
              <w:t>B-1</w:t>
            </w:r>
            <w:r>
              <w:rPr>
                <w:rFonts w:ascii="Aptos" w:hAnsi="Aptos"/>
                <w:color w:val="231F20"/>
                <w:spacing w:val="-6"/>
                <w:sz w:val="12"/>
              </w:rPr>
              <w:t xml:space="preserve"> </w:t>
            </w:r>
            <w:r>
              <w:rPr>
                <w:rFonts w:ascii="Times New Roman;Times;serif" w:hAnsi="Times New Roman;Times;serif"/>
                <w:color w:val="231F20"/>
                <w:sz w:val="12"/>
              </w:rPr>
              <w:t>Preferred</w:t>
            </w:r>
            <w:r>
              <w:rPr>
                <w:rFonts w:ascii="Aptos" w:hAnsi="Aptos"/>
                <w:color w:val="231F20"/>
                <w:spacing w:val="-6"/>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9/29/2031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763,269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343</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4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r>
      <w:tr>
        <w:trPr/>
        <w:tc>
          <w:tcPr>
            <w:tcW w:w="1051"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Total Human Resource &amp; Employment</w:t>
            </w:r>
            <w:r>
              <w:rPr>
                <w:rFonts w:ascii="Aptos" w:hAnsi="Aptos"/>
                <w:color w:val="231F20"/>
                <w:spacing w:val="40"/>
                <w:sz w:val="12"/>
              </w:rPr>
              <w:t xml:space="preserve"> </w:t>
            </w:r>
            <w:r>
              <w:rPr>
                <w:rFonts w:ascii="Times New Roman;Times;serif" w:hAnsi="Times New Roman;Times;serif"/>
                <w:b/>
                <w:color w:val="231F20"/>
                <w:sz w:val="12"/>
              </w:rPr>
              <w:t>Services – 0.30%*</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789</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465"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1,524</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Internet</w:t>
            </w:r>
            <w:r>
              <w:rPr>
                <w:rFonts w:ascii="Aptos" w:hAnsi="Aptos"/>
                <w:color w:val="231F20"/>
                <w:spacing w:val="-7"/>
                <w:sz w:val="12"/>
              </w:rPr>
              <w:t xml:space="preserve"> </w:t>
            </w:r>
            <w:r>
              <w:rPr>
                <w:rFonts w:ascii="Times New Roman;Times;serif" w:hAnsi="Times New Roman;Times;serif"/>
                <w:b/>
                <w:color w:val="231F20"/>
                <w:sz w:val="12"/>
              </w:rPr>
              <w:t>&amp;</w:t>
            </w:r>
            <w:r>
              <w:rPr>
                <w:rFonts w:ascii="Aptos" w:hAnsi="Aptos"/>
                <w:color w:val="231F20"/>
                <w:spacing w:val="-6"/>
                <w:sz w:val="12"/>
              </w:rPr>
              <w:t xml:space="preserve"> </w:t>
            </w:r>
            <w:r>
              <w:rPr>
                <w:rFonts w:ascii="Times New Roman;Times;serif" w:hAnsi="Times New Roman;Times;serif"/>
                <w:b/>
                <w:color w:val="231F20"/>
                <w:sz w:val="12"/>
              </w:rPr>
              <w:t>Direct</w:t>
            </w:r>
            <w:r>
              <w:rPr>
                <w:rFonts w:ascii="Aptos" w:hAnsi="Aptos"/>
                <w:color w:val="231F20"/>
                <w:spacing w:val="-6"/>
                <w:sz w:val="12"/>
              </w:rPr>
              <w:t xml:space="preserve"> </w:t>
            </w:r>
            <w:r>
              <w:rPr>
                <w:rFonts w:ascii="Times New Roman;Times;serif" w:hAnsi="Times New Roman;Times;serif"/>
                <w:b/>
                <w:color w:val="231F20"/>
                <w:sz w:val="12"/>
              </w:rPr>
              <w:t>Marketing</w:t>
            </w:r>
            <w:r>
              <w:rPr>
                <w:rFonts w:ascii="Aptos" w:hAnsi="Aptos"/>
                <w:color w:val="231F20"/>
                <w:spacing w:val="-6"/>
                <w:sz w:val="12"/>
              </w:rPr>
              <w:t xml:space="preserve"> </w:t>
            </w:r>
            <w:r>
              <w:rPr>
                <w:rFonts w:ascii="Times New Roman;Times;serif" w:hAnsi="Times New Roman;Times;serif"/>
                <w:b/>
                <w:color w:val="231F20"/>
                <w:spacing w:val="-2"/>
                <w:sz w:val="12"/>
              </w:rPr>
              <w:t>Retail</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7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2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1051"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Madison</w:t>
            </w:r>
            <w:r>
              <w:rPr>
                <w:rFonts w:ascii="Aptos" w:hAnsi="Aptos"/>
                <w:color w:val="231F20"/>
                <w:spacing w:val="-2"/>
                <w:sz w:val="12"/>
              </w:rPr>
              <w:t xml:space="preserve"> </w:t>
            </w:r>
            <w:r>
              <w:rPr>
                <w:rFonts w:ascii="Times New Roman;Times;serif" w:hAnsi="Times New Roman;Times;serif"/>
                <w:color w:val="231F20"/>
                <w:sz w:val="12"/>
              </w:rPr>
              <w:t>Reed,</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430</w:t>
            </w:r>
            <w:r>
              <w:rPr>
                <w:rFonts w:ascii="Aptos" w:hAnsi="Aptos"/>
                <w:color w:val="231F20"/>
                <w:spacing w:val="-9"/>
                <w:sz w:val="12"/>
              </w:rPr>
              <w:t xml:space="preserve"> </w:t>
            </w:r>
            <w:r>
              <w:rPr>
                <w:rFonts w:ascii="Times New Roman;Times;serif" w:hAnsi="Times New Roman;Times;serif"/>
                <w:color w:val="231F20"/>
                <w:sz w:val="12"/>
              </w:rPr>
              <w:t>Shotwell</w:t>
            </w:r>
            <w:r>
              <w:rPr>
                <w:rFonts w:ascii="Aptos" w:hAnsi="Aptos"/>
                <w:color w:val="231F20"/>
                <w:spacing w:val="-8"/>
                <w:sz w:val="12"/>
              </w:rPr>
              <w:t xml:space="preserve"> </w:t>
            </w:r>
            <w:r>
              <w:rPr>
                <w:rFonts w:ascii="Times New Roman;Times;serif" w:hAnsi="Times New Roman;Times;serif"/>
                <w:color w:val="231F20"/>
                <w:sz w:val="12"/>
              </w:rPr>
              <w:t>Street</w:t>
            </w:r>
            <w:r>
              <w:rPr>
                <w:rFonts w:ascii="Aptos" w:hAnsi="Aptos"/>
                <w:color w:val="231F20"/>
                <w:spacing w:val="-8"/>
                <w:sz w:val="12"/>
              </w:rPr>
              <w:t xml:space="preserve"> </w:t>
            </w:r>
            <w:r>
              <w:rPr>
                <w:rFonts w:ascii="Times New Roman;Times;serif" w:hAnsi="Times New Roman;Times;serif"/>
                <w:color w:val="231F20"/>
                <w:sz w:val="12"/>
              </w:rPr>
              <w:t>San</w:t>
            </w:r>
            <w:r>
              <w:rPr>
                <w:rFonts w:ascii="Aptos" w:hAnsi="Aptos"/>
                <w:color w:val="231F20"/>
                <w:spacing w:val="40"/>
                <w:sz w:val="12"/>
              </w:rPr>
              <w:t xml:space="preserve"> </w:t>
            </w:r>
            <w:r>
              <w:rPr>
                <w:rFonts w:ascii="Times New Roman;Times;serif" w:hAnsi="Times New Roman;Times;serif"/>
                <w:color w:val="231F20"/>
                <w:sz w:val="12"/>
              </w:rPr>
              <w:t>Francisco, CA 94110</w:t>
            </w:r>
            <w:r>
              <w:rPr>
                <w:rFonts w:ascii="Aptos" w:hAnsi="Aptos"/>
                <w:color w:val="231F20"/>
                <w:spacing w:val="40"/>
                <w:sz w:val="12"/>
              </w:rPr>
              <w:t xml:space="preserve"> </w:t>
            </w:r>
            <w:r>
              <w:rPr>
                <w:rFonts w:ascii="Times New Roman;Times;serif" w:hAnsi="Times New Roman;Times;serif"/>
                <w:color w:val="231F20"/>
                <w:sz w:val="12"/>
              </w:rP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Success</w:t>
            </w:r>
            <w:r>
              <w:rPr>
                <w:rFonts w:ascii="Aptos" w:hAnsi="Aptos"/>
                <w:color w:val="231F20"/>
                <w:spacing w:val="-6"/>
                <w:sz w:val="12"/>
              </w:rPr>
              <w:t xml:space="preserve"> </w:t>
            </w:r>
            <w:r>
              <w:rPr>
                <w:rFonts w:ascii="Times New Roman;Times;serif" w:hAnsi="Times New Roman;Times;serif"/>
                <w:color w:val="231F20"/>
                <w:spacing w:val="-5"/>
                <w:sz w:val="12"/>
              </w:rPr>
              <w:t>fee</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209</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4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177</w:t>
            </w:r>
          </w:p>
        </w:tc>
      </w:tr>
      <w:tr>
        <w:trPr/>
        <w:tc>
          <w:tcPr>
            <w:tcW w:w="1051" w:type="dxa"/>
            <w:tcBorders/>
            <w:shd w:fill="CCEEFF" w:val="clear"/>
            <w:vAlign w:val="center"/>
          </w:tcPr>
          <w:p>
            <w:pPr>
              <w:pStyle w:val="TableContents"/>
              <w:bidi w:val="0"/>
              <w:spacing w:lineRule="auto" w:line="285" w:before="0" w:after="0"/>
              <w:ind w:left="115"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7"/>
                <w:sz w:val="12"/>
              </w:rPr>
              <w:t xml:space="preserve"> </w:t>
            </w:r>
            <w:r>
              <w:rPr>
                <w:rFonts w:ascii="Times New Roman;Times;serif" w:hAnsi="Times New Roman;Times;serif"/>
                <w:b/>
                <w:color w:val="231F20"/>
                <w:sz w:val="12"/>
              </w:rPr>
              <w:t>Internet</w:t>
            </w:r>
            <w:r>
              <w:rPr>
                <w:rFonts w:ascii="Times NR MT Pro" w:hAnsi="Times NR MT Pro"/>
                <w:color w:val="231F20"/>
                <w:spacing w:val="-7"/>
                <w:sz w:val="12"/>
              </w:rPr>
              <w:t xml:space="preserve"> </w:t>
            </w:r>
            <w:r>
              <w:rPr>
                <w:rFonts w:ascii="Times New Roman;Times;serif" w:hAnsi="Times New Roman;Times;serif"/>
                <w:b/>
                <w:color w:val="231F20"/>
                <w:sz w:val="12"/>
              </w:rPr>
              <w:t>&amp;</w:t>
            </w:r>
            <w:r>
              <w:rPr>
                <w:rFonts w:ascii="Times NR MT Pro" w:hAnsi="Times NR MT Pro"/>
                <w:color w:val="231F20"/>
                <w:spacing w:val="-7"/>
                <w:sz w:val="12"/>
              </w:rPr>
              <w:t xml:space="preserve"> </w:t>
            </w:r>
            <w:r>
              <w:rPr>
                <w:rFonts w:ascii="Times New Roman;Times;serif" w:hAnsi="Times New Roman;Times;serif"/>
                <w:b/>
                <w:color w:val="231F20"/>
                <w:sz w:val="12"/>
              </w:rPr>
              <w:t>Direct</w:t>
            </w:r>
            <w:r>
              <w:rPr>
                <w:rFonts w:ascii="Times NR MT Pro" w:hAnsi="Times NR MT Pro"/>
                <w:color w:val="231F20"/>
                <w:spacing w:val="-7"/>
                <w:sz w:val="12"/>
              </w:rPr>
              <w:t xml:space="preserve"> </w:t>
            </w:r>
            <w:r>
              <w:rPr>
                <w:rFonts w:ascii="Times New Roman;Times;serif" w:hAnsi="Times New Roman;Times;serif"/>
                <w:b/>
                <w:color w:val="231F20"/>
                <w:spacing w:val="-2"/>
                <w:sz w:val="12"/>
              </w:rPr>
              <w:t>Marketing</w:t>
            </w:r>
          </w:p>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Retail</w:t>
            </w:r>
            <w:r>
              <w:rPr>
                <w:rFonts w:ascii="Aptos" w:hAnsi="Aptos"/>
                <w:color w:val="231F20"/>
                <w:spacing w:val="1"/>
                <w:sz w:val="12"/>
              </w:rPr>
              <w:t xml:space="preserve"> </w:t>
            </w:r>
            <w:r>
              <w:rPr>
                <w:rFonts w:ascii="Aptos" w:hAnsi="Aptos"/>
                <w:color w:val="231F20"/>
                <w:sz w:val="12"/>
              </w:rPr>
              <w:t>–</w:t>
            </w:r>
            <w:r>
              <w:rPr>
                <w:rFonts w:ascii="Aptos" w:hAnsi="Aptos"/>
                <w:color w:val="231F20"/>
                <w:spacing w:val="1"/>
                <w:sz w:val="12"/>
              </w:rPr>
              <w:t xml:space="preserve"> </w:t>
            </w:r>
            <w:r>
              <w:rPr>
                <w:rFonts w:ascii="Times New Roman;Times;serif" w:hAnsi="Times New Roman;Times;serif"/>
                <w:b/>
                <w:color w:val="231F20"/>
                <w:sz w:val="12"/>
              </w:rPr>
              <w:t>0.03%*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209</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46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177</w:t>
            </w:r>
          </w:p>
        </w:tc>
      </w:tr>
      <w:tr>
        <w:trPr/>
        <w:tc>
          <w:tcPr>
            <w:tcW w:w="1051"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b/>
                <w:color w:val="231F20"/>
                <w:sz w:val="12"/>
              </w:rPr>
              <w:t>Internet</w:t>
            </w:r>
            <w:r>
              <w:rPr>
                <w:rFonts w:ascii="Aptos" w:hAnsi="Aptos"/>
                <w:color w:val="231F20"/>
                <w:spacing w:val="-7"/>
                <w:sz w:val="12"/>
              </w:rPr>
              <w:t xml:space="preserve"> </w:t>
            </w:r>
            <w:r>
              <w:rPr>
                <w:rFonts w:ascii="Times New Roman;Times;serif" w:hAnsi="Times New Roman;Times;serif"/>
                <w:b/>
                <w:color w:val="231F20"/>
                <w:sz w:val="12"/>
              </w:rPr>
              <w:t>Software</w:t>
            </w:r>
            <w:r>
              <w:rPr>
                <w:rFonts w:ascii="Aptos" w:hAnsi="Aptos"/>
                <w:color w:val="231F20"/>
                <w:spacing w:val="-6"/>
                <w:sz w:val="12"/>
              </w:rPr>
              <w:t xml:space="preserve"> </w:t>
            </w:r>
            <w:r>
              <w:rPr>
                <w:rFonts w:ascii="Times New Roman;Times;serif" w:hAnsi="Times New Roman;Times;serif"/>
                <w:b/>
                <w:color w:val="231F20"/>
                <w:sz w:val="12"/>
              </w:rPr>
              <w:t>and</w:t>
            </w:r>
            <w:r>
              <w:rPr>
                <w:rFonts w:ascii="Aptos" w:hAnsi="Aptos"/>
                <w:color w:val="231F20"/>
                <w:spacing w:val="-6"/>
                <w:sz w:val="12"/>
              </w:rPr>
              <w:t xml:space="preserve"> </w:t>
            </w:r>
            <w:r>
              <w:rPr>
                <w:rFonts w:ascii="Times New Roman;Times;serif" w:hAnsi="Times New Roman;Times;serif"/>
                <w:b/>
                <w:color w:val="231F20"/>
                <w:spacing w:val="-2"/>
                <w:sz w:val="12"/>
              </w:rPr>
              <w:t>Services</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6"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465"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Bombora,</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102</w:t>
            </w:r>
            <w:r>
              <w:rPr>
                <w:rFonts w:ascii="Times NR MT Pro" w:hAnsi="Times NR MT Pro"/>
                <w:color w:val="231F20"/>
                <w:spacing w:val="-7"/>
                <w:sz w:val="12"/>
              </w:rPr>
              <w:t xml:space="preserve"> </w:t>
            </w:r>
            <w:r>
              <w:rPr>
                <w:rFonts w:ascii="Times New Roman;Times;serif" w:hAnsi="Times New Roman;Times;serif"/>
                <w:color w:val="231F20"/>
                <w:spacing w:val="-2"/>
                <w:sz w:val="12"/>
              </w:rPr>
              <w:t>Madison</w:t>
            </w:r>
            <w:r>
              <w:rPr>
                <w:rFonts w:ascii="Times NR MT Pro" w:hAnsi="Times NR MT Pro"/>
                <w:color w:val="231F20"/>
                <w:spacing w:val="-6"/>
                <w:sz w:val="12"/>
              </w:rPr>
              <w:t xml:space="preserve"> </w:t>
            </w:r>
            <w:r>
              <w:rPr>
                <w:rFonts w:ascii="Times New Roman;Times;serif" w:hAnsi="Times New Roman;Times;serif"/>
                <w:color w:val="231F20"/>
                <w:spacing w:val="-2"/>
                <w:sz w:val="12"/>
              </w:rPr>
              <w:t>Avenue</w:t>
            </w:r>
            <w:r>
              <w:rPr>
                <w:rFonts w:ascii="Times NR MT Pro" w:hAnsi="Times NR MT Pro"/>
                <w:color w:val="231F20"/>
                <w:spacing w:val="40"/>
                <w:sz w:val="12"/>
              </w:rPr>
              <w:t xml:space="preserve"> </w:t>
            </w:r>
            <w:r>
              <w:rPr>
                <w:rFonts w:ascii="Times New Roman;Times;serif" w:hAnsi="Times New Roman;Times;serif"/>
                <w:color w:val="231F20"/>
                <w:sz w:val="12"/>
              </w:rPr>
              <w:t>Floor 5 New York, NY</w:t>
            </w:r>
            <w:r>
              <w:rPr>
                <w:rFonts w:ascii="Times NR MT Pro" w:hAnsi="Times NR MT Pro"/>
                <w:color w:val="231F20"/>
                <w:spacing w:val="-5"/>
                <w:sz w:val="12"/>
              </w:rPr>
              <w:t xml:space="preserve"> </w:t>
            </w:r>
            <w:r>
              <w:rPr>
                <w:rFonts w:ascii="Times New Roman;Times;serif" w:hAnsi="Times New Roman;Times;serif"/>
                <w:color w:val="231F20"/>
                <w:sz w:val="12"/>
              </w:rPr>
              <w:t>10016</w:t>
            </w:r>
            <w:r>
              <w:rPr>
                <w:rFonts w:ascii="Times NR MT Pro" w:hAnsi="Times NR MT Pro"/>
                <w:color w:val="231F20"/>
                <w:spacing w:val="-4"/>
                <w:sz w:val="12"/>
              </w:rPr>
              <w:t xml:space="preserve"> </w:t>
            </w:r>
            <w:r>
              <w:rPr>
                <w:rFonts w:ascii="Times New Roman;Times;serif" w:hAnsi="Times New Roman;Times;serif"/>
                <w:color w:val="231F20"/>
                <w:sz w:val="12"/>
              </w:rPr>
              <w:t>United</w:t>
            </w:r>
            <w:r>
              <w:rPr>
                <w:rFonts w:ascii="Times NR MT Pro" w:hAnsi="Times NR MT Pro"/>
                <w:color w:val="231F20"/>
                <w:spacing w:val="-4"/>
                <w:sz w:val="12"/>
              </w:rPr>
              <w:t xml:space="preserve"> </w:t>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3/31/2031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121,581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174</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115</w:t>
            </w:r>
          </w:p>
        </w:tc>
      </w:tr>
      <w:tr>
        <w:trPr/>
        <w:tc>
          <w:tcPr>
            <w:tcW w:w="105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12/26/2033</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48,632</w:t>
            </w:r>
          </w:p>
        </w:tc>
        <w:tc>
          <w:tcPr>
            <w:tcW w:w="346" w:type="dxa"/>
            <w:tcBorders/>
            <w:vAlign w:val="center"/>
          </w:tcPr>
          <w:p>
            <w:pPr>
              <w:pStyle w:val="TableContents"/>
              <w:bidi w:val="0"/>
              <w:spacing w:lineRule="auto" w:line="328" w:before="0" w:after="160"/>
              <w:ind w:left="0" w:right="0" w:hanging="0"/>
              <w:jc w:val="left"/>
              <w:rPr/>
            </w:pPr>
            <w:r>
              <w:rPr/>
              <w:t>​</w:t>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43</w:t>
            </w:r>
          </w:p>
        </w:tc>
        <w:tc>
          <w:tcPr>
            <w:tcW w:w="346" w:type="dxa"/>
            <w:tcBorders/>
            <w:vAlign w:val="center"/>
          </w:tcPr>
          <w:p>
            <w:pPr>
              <w:pStyle w:val="TableContents"/>
              <w:bidi w:val="0"/>
              <w:spacing w:lineRule="auto" w:line="328" w:before="0" w:after="160"/>
              <w:ind w:left="0" w:right="0" w:hanging="0"/>
              <w:jc w:val="right"/>
              <w:rPr/>
            </w:pPr>
            <w:r>
              <w:rPr/>
              <w:t>​</w:t>
            </w:r>
          </w:p>
        </w:tc>
        <w:tc>
          <w:tcPr>
            <w:tcW w:w="465"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46</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CarNow,</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1100</w:t>
            </w:r>
            <w:r>
              <w:rPr>
                <w:rFonts w:ascii="Times NR MT Pro" w:hAnsi="Times NR MT Pro"/>
                <w:color w:val="231F20"/>
                <w:spacing w:val="-5"/>
                <w:sz w:val="12"/>
              </w:rPr>
              <w:t xml:space="preserve"> </w:t>
            </w:r>
            <w:r>
              <w:rPr>
                <w:rFonts w:ascii="Times New Roman;Times;serif" w:hAnsi="Times New Roman;Times;serif"/>
                <w:color w:val="231F20"/>
                <w:sz w:val="12"/>
              </w:rPr>
              <w:t>Circle</w:t>
            </w:r>
            <w:r>
              <w:rPr>
                <w:rFonts w:ascii="Times NR MT Pro" w:hAnsi="Times NR MT Pro"/>
                <w:color w:val="231F20"/>
                <w:spacing w:val="-4"/>
                <w:sz w:val="12"/>
              </w:rPr>
              <w:t xml:space="preserve"> </w:t>
            </w:r>
            <w:r>
              <w:rPr>
                <w:rFonts w:ascii="Times New Roman;Times;serif" w:hAnsi="Times New Roman;Times;serif"/>
                <w:color w:val="231F20"/>
                <w:sz w:val="12"/>
              </w:rPr>
              <w:t>75</w:t>
            </w:r>
            <w:r>
              <w:rPr>
                <w:rFonts w:ascii="Times NR MT Pro" w:hAnsi="Times NR MT Pro"/>
                <w:color w:val="231F20"/>
                <w:spacing w:val="-4"/>
                <w:sz w:val="12"/>
              </w:rPr>
              <w:t xml:space="preserve"> </w:t>
            </w:r>
            <w:r>
              <w:rPr>
                <w:rFonts w:ascii="Times New Roman;Times;serif" w:hAnsi="Times New Roman;Times;serif"/>
                <w:color w:val="231F20"/>
                <w:spacing w:val="-2"/>
                <w:sz w:val="12"/>
              </w:rPr>
              <w:t xml:space="preserve">Parkway </w:t>
            </w:r>
            <w:r>
              <w:rPr>
                <w:rFonts w:ascii="Times New Roman;Times;serif" w:hAnsi="Times New Roman;Times;serif"/>
                <w:color w:val="231F20"/>
                <w:sz w:val="12"/>
              </w:rPr>
              <w:t>Suite</w:t>
            </w:r>
            <w:r>
              <w:rPr>
                <w:rFonts w:ascii="Times NR MT Pro" w:hAnsi="Times NR MT Pro"/>
                <w:color w:val="231F20"/>
                <w:spacing w:val="-4"/>
                <w:sz w:val="12"/>
              </w:rPr>
              <w:t xml:space="preserve"> </w:t>
            </w:r>
            <w:r>
              <w:rPr>
                <w:rFonts w:ascii="Times New Roman;Times;serif" w:hAnsi="Times New Roman;Times;serif"/>
                <w:color w:val="231F20"/>
                <w:sz w:val="12"/>
              </w:rPr>
              <w:t>800</w:t>
            </w:r>
            <w:r>
              <w:rPr>
                <w:rFonts w:ascii="Times NR MT Pro" w:hAnsi="Times NR MT Pro"/>
                <w:color w:val="231F20"/>
                <w:spacing w:val="-3"/>
                <w:sz w:val="12"/>
              </w:rPr>
              <w:t xml:space="preserve"> </w:t>
            </w:r>
            <w:r>
              <w:rPr>
                <w:rFonts w:ascii="Times New Roman;Times;serif" w:hAnsi="Times New Roman;Times;serif"/>
                <w:color w:val="231F20"/>
                <w:spacing w:val="-2"/>
                <w:sz w:val="12"/>
              </w:rPr>
              <w:t xml:space="preserve">Atlanta, </w:t>
            </w:r>
            <w:r>
              <w:rPr>
                <w:rFonts w:ascii="Times New Roman;Times;serif" w:hAnsi="Times New Roman;Times;serif"/>
                <w:color w:val="231F20"/>
                <w:sz w:val="12"/>
              </w:rPr>
              <w:t>GA</w:t>
            </w:r>
            <w:r>
              <w:rPr>
                <w:rFonts w:ascii="Times NR MT Pro" w:hAnsi="Times NR MT Pro"/>
                <w:color w:val="231F20"/>
                <w:spacing w:val="-5"/>
                <w:sz w:val="12"/>
              </w:rPr>
              <w:t xml:space="preserve"> </w:t>
            </w:r>
            <w:r>
              <w:rPr>
                <w:rFonts w:ascii="Times New Roman;Times;serif" w:hAnsi="Times New Roman;Times;serif"/>
                <w:color w:val="231F20"/>
                <w:sz w:val="12"/>
              </w:rPr>
              <w:t>30339</w:t>
            </w:r>
            <w:r>
              <w:rPr>
                <w:rFonts w:ascii="Times NR MT Pro" w:hAnsi="Times NR MT Pro"/>
                <w:color w:val="231F20"/>
                <w:spacing w:val="-4"/>
                <w:sz w:val="12"/>
              </w:rPr>
              <w:t xml:space="preserve"> </w:t>
            </w:r>
            <w:r>
              <w:rPr>
                <w:rFonts w:ascii="Times New Roman;Times;serif" w:hAnsi="Times New Roman;Times;serif"/>
                <w:color w:val="231F20"/>
                <w:sz w:val="12"/>
              </w:rPr>
              <w:t>United</w:t>
            </w:r>
            <w:r>
              <w:rPr>
                <w:rFonts w:ascii="Times NR MT Pro" w:hAnsi="Times NR MT Pro"/>
                <w:color w:val="231F20"/>
                <w:spacing w:val="-4"/>
                <w:sz w:val="12"/>
              </w:rPr>
              <w:t xml:space="preserve"> </w:t>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3/22/2034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200,000</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2,400</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2,720</w:t>
            </w:r>
          </w:p>
        </w:tc>
      </w:tr>
      <w:tr>
        <w:trPr/>
        <w:tc>
          <w:tcPr>
            <w:tcW w:w="1051"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Fidelis</w:t>
            </w:r>
            <w:r>
              <w:rPr>
                <w:rFonts w:ascii="Aptos" w:hAnsi="Aptos"/>
                <w:color w:val="231F20"/>
                <w:spacing w:val="-3"/>
                <w:sz w:val="12"/>
              </w:rPr>
              <w:t xml:space="preserve"> </w:t>
            </w:r>
            <w:r>
              <w:rPr>
                <w:rFonts w:ascii="Times New Roman;Times;serif" w:hAnsi="Times New Roman;Times;serif"/>
                <w:color w:val="231F20"/>
                <w:sz w:val="12"/>
              </w:rPr>
              <w:t>Cybersecurity,</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vAlign w:val="center"/>
          </w:tcPr>
          <w:p>
            <w:pPr>
              <w:pStyle w:val="TableContents"/>
              <w:bidi w:val="0"/>
              <w:spacing w:lineRule="auto" w:line="328" w:before="0" w:after="160"/>
              <w:ind w:left="0" w:right="0" w:hanging="0"/>
              <w:jc w:val="left"/>
              <w:rPr/>
            </w:pPr>
            <w:r>
              <w:rPr/>
              <w:t>​</w:t>
            </w:r>
          </w:p>
        </w:tc>
        <w:tc>
          <w:tcPr>
            <w:tcW w:w="900" w:type="dxa"/>
            <w:tcBorders/>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4500</w:t>
            </w:r>
            <w:r>
              <w:rPr>
                <w:rFonts w:ascii="Aptos" w:hAnsi="Aptos"/>
                <w:color w:val="231F20"/>
                <w:spacing w:val="-9"/>
                <w:sz w:val="12"/>
              </w:rPr>
              <w:t xml:space="preserve"> </w:t>
            </w:r>
            <w:r>
              <w:rPr>
                <w:rFonts w:ascii="Times New Roman;Times;serif" w:hAnsi="Times New Roman;Times;serif"/>
                <w:color w:val="231F20"/>
                <w:sz w:val="12"/>
              </w:rPr>
              <w:t>East</w:t>
            </w:r>
            <w:r>
              <w:rPr>
                <w:rFonts w:ascii="Aptos" w:hAnsi="Aptos"/>
                <w:color w:val="231F20"/>
                <w:spacing w:val="-8"/>
                <w:sz w:val="12"/>
              </w:rPr>
              <w:t xml:space="preserve"> </w:t>
            </w:r>
            <w:r>
              <w:rPr>
                <w:rFonts w:ascii="Times New Roman;Times;serif" w:hAnsi="Times New Roman;Times;serif"/>
                <w:color w:val="231F20"/>
                <w:sz w:val="12"/>
              </w:rPr>
              <w:t>West,</w:t>
            </w:r>
            <w:r>
              <w:rPr>
                <w:rFonts w:ascii="Aptos" w:hAnsi="Aptos"/>
                <w:color w:val="231F20"/>
                <w:spacing w:val="-8"/>
                <w:sz w:val="12"/>
              </w:rPr>
              <w:t xml:space="preserve"> </w:t>
            </w:r>
            <w:r>
              <w:rPr>
                <w:rFonts w:ascii="Times New Roman;Times;serif" w:hAnsi="Times New Roman;Times;serif"/>
                <w:color w:val="231F20"/>
                <w:sz w:val="12"/>
              </w:rPr>
              <w:t>Hwy</w:t>
            </w:r>
            <w:r>
              <w:rPr>
                <w:rFonts w:ascii="Aptos" w:hAnsi="Aptos"/>
                <w:color w:val="231F20"/>
                <w:spacing w:val="40"/>
                <w:sz w:val="12"/>
              </w:rPr>
              <w:t xml:space="preserve"> </w:t>
            </w:r>
            <w:r>
              <w:rPr>
                <w:rFonts w:ascii="Times New Roman;Times;serif" w:hAnsi="Times New Roman;Times;serif"/>
                <w:color w:val="231F20"/>
                <w:sz w:val="12"/>
              </w:rPr>
              <w:t>Bethesda,</w:t>
            </w:r>
            <w:r>
              <w:rPr>
                <w:rFonts w:ascii="Aptos" w:hAnsi="Aptos"/>
                <w:color w:val="231F20"/>
                <w:spacing w:val="-9"/>
                <w:sz w:val="12"/>
              </w:rPr>
              <w:t xml:space="preserve"> </w:t>
            </w:r>
            <w:r>
              <w:rPr>
                <w:rFonts w:ascii="Times New Roman;Times;serif" w:hAnsi="Times New Roman;Times;serif"/>
                <w:color w:val="231F20"/>
                <w:sz w:val="12"/>
              </w:rPr>
              <w:t>MD</w:t>
            </w:r>
            <w:r>
              <w:rPr>
                <w:rFonts w:ascii="Aptos" w:hAnsi="Aptos"/>
                <w:color w:val="231F20"/>
                <w:spacing w:val="-8"/>
                <w:sz w:val="12"/>
              </w:rPr>
              <w:t xml:space="preserve"> </w:t>
            </w:r>
            <w:r>
              <w:rPr>
                <w:rFonts w:ascii="Times New Roman;Times;serif" w:hAnsi="Times New Roman;Times;serif"/>
                <w:color w:val="231F20"/>
                <w:sz w:val="12"/>
              </w:rPr>
              <w:t>20814</w:t>
            </w:r>
            <w:r>
              <w:rPr>
                <w:rFonts w:ascii="Aptos" w:hAnsi="Aptos"/>
                <w:color w:val="231F20"/>
                <w:spacing w:val="40"/>
                <w:sz w:val="12"/>
              </w:rPr>
              <w:t xml:space="preserve"> </w:t>
            </w:r>
            <w:r>
              <w:rPr>
                <w:rFonts w:ascii="Times New Roman;Times;serif" w:hAnsi="Times New Roman;Times;serif"/>
                <w:color w:val="231F20"/>
                <w:sz w:val="12"/>
              </w:rPr>
              <w:t>United</w:t>
            </w:r>
            <w:r>
              <w:rPr>
                <w:rFonts w:ascii="Aptos" w:hAnsi="Aptos"/>
                <w:color w:val="231F20"/>
                <w:spacing w:val="-9"/>
                <w:sz w:val="12"/>
              </w:rPr>
              <w:t xml:space="preserve"> </w:t>
            </w:r>
            <w:r>
              <w:rPr>
                <w:rFonts w:ascii="Times New Roman;Times;serif" w:hAnsi="Times New Roman;Times;serif"/>
                <w:color w:val="231F20"/>
                <w:sz w:val="12"/>
              </w:rPr>
              <w:t>States</w:t>
            </w:r>
          </w:p>
        </w:tc>
        <w:tc>
          <w:tcPr>
            <w:tcW w:w="346" w:type="dxa"/>
            <w:tcBorders/>
            <w:vAlign w:val="center"/>
          </w:tcPr>
          <w:p>
            <w:pPr>
              <w:pStyle w:val="TableContents"/>
              <w:bidi w:val="0"/>
              <w:spacing w:lineRule="auto" w:line="328" w:before="0" w:after="16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52"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3/25/2032</w:t>
            </w:r>
          </w:p>
        </w:tc>
        <w:tc>
          <w:tcPr>
            <w:tcW w:w="346" w:type="dxa"/>
            <w:tcBorders/>
            <w:vAlign w:val="center"/>
          </w:tcPr>
          <w:p>
            <w:pPr>
              <w:pStyle w:val="TableContents"/>
              <w:bidi w:val="0"/>
              <w:spacing w:lineRule="auto" w:line="328" w:before="0" w:after="160"/>
              <w:ind w:left="0" w:right="0" w:hanging="0"/>
              <w:jc w:val="left"/>
              <w:rPr/>
            </w:pPr>
            <w:r>
              <w:rPr/>
              <w:t>​</w:t>
            </w:r>
          </w:p>
        </w:tc>
        <w:tc>
          <w:tcPr>
            <w:tcW w:w="57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726"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37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79</w:t>
            </w:r>
          </w:p>
        </w:tc>
        <w:tc>
          <w:tcPr>
            <w:tcW w:w="346" w:type="dxa"/>
            <w:tcBorders/>
            <w:vAlign w:val="center"/>
          </w:tcPr>
          <w:p>
            <w:pPr>
              <w:pStyle w:val="TableContents"/>
              <w:bidi w:val="0"/>
              <w:spacing w:lineRule="auto" w:line="328" w:before="0" w:after="160"/>
              <w:ind w:left="0" w:right="0" w:hanging="0"/>
              <w:jc w:val="right"/>
              <w:rPr/>
            </w:pPr>
            <w:r>
              <w:rPr/>
              <w:t>​</w:t>
            </w:r>
          </w:p>
        </w:tc>
        <w:tc>
          <w:tcPr>
            <w:tcW w:w="465" w:type="dxa"/>
            <w:tcBorders/>
            <w:vAlign w:val="center"/>
          </w:tcPr>
          <w:p>
            <w:pPr>
              <w:pStyle w:val="TableContents"/>
              <w:bidi w:val="0"/>
              <w:spacing w:lineRule="auto" w:line="285" w:before="0" w:after="0"/>
              <w:ind w:left="0" w:right="0" w:hanging="0"/>
              <w:jc w:val="right"/>
              <w:rPr>
                <w:color w:val="231F20"/>
                <w:spacing w:val="-10"/>
              </w:rPr>
            </w:pPr>
            <w:r>
              <w:rPr>
                <w:color w:val="231F20"/>
                <w:spacing w:val="-10"/>
              </w:rPr>
              <w:t>—</w:t>
            </w:r>
          </w:p>
        </w:tc>
      </w:tr>
      <w:tr>
        <w:trPr/>
        <w:tc>
          <w:tcPr>
            <w:tcW w:w="1051"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INRIX,</w:t>
            </w:r>
            <w:r>
              <w:rPr>
                <w:rFonts w:ascii="Aptos" w:hAnsi="Aptos"/>
                <w:color w:val="231F20"/>
                <w:spacing w:val="-2"/>
                <w:sz w:val="12"/>
              </w:rPr>
              <w:t xml:space="preserve"> </w:t>
            </w:r>
            <w:r>
              <w:rPr>
                <w:rFonts w:ascii="Times New Roman;Times;serif" w:hAnsi="Times New Roman;Times;serif"/>
                <w:color w:val="231F20"/>
                <w:sz w:val="12"/>
              </w:rPr>
              <w:t>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60"/>
              <w:ind w:left="0" w:right="0" w:hanging="0"/>
              <w:jc w:val="left"/>
              <w:rPr>
                <w:rFonts w:ascii="Aptos" w:hAnsi="Aptos"/>
                <w:sz w:val="12"/>
              </w:rPr>
            </w:pPr>
            <w:r>
              <w:rPr>
                <w:rFonts w:ascii="Times New Roman;Times;serif" w:hAnsi="Times New Roman;Times;serif"/>
                <w:color w:val="231F20"/>
                <w:sz w:val="12"/>
              </w:rPr>
              <w:t>10210 North East Points</w:t>
            </w:r>
            <w:r>
              <w:rPr>
                <w:rFonts w:ascii="Aptos" w:hAnsi="Aptos"/>
                <w:color w:val="231F20"/>
                <w:spacing w:val="40"/>
                <w:sz w:val="12"/>
              </w:rPr>
              <w:t xml:space="preserve"> </w:t>
            </w:r>
            <w:r>
              <w:rPr>
                <w:rFonts w:ascii="Times New Roman;Times;serif" w:hAnsi="Times New Roman;Times;serif"/>
                <w:color w:val="231F20"/>
                <w:sz w:val="12"/>
              </w:rPr>
              <w:t>Drive</w:t>
            </w:r>
            <w:r>
              <w:rPr>
                <w:rFonts w:ascii="Aptos" w:hAnsi="Aptos"/>
                <w:color w:val="231F20"/>
                <w:spacing w:val="-9"/>
                <w:sz w:val="12"/>
              </w:rPr>
              <w:t xml:space="preserve"> </w:t>
            </w:r>
            <w:r>
              <w:rPr>
                <w:rFonts w:ascii="Times New Roman;Times;serif" w:hAnsi="Times New Roman;Times;serif"/>
                <w:color w:val="231F20"/>
                <w:sz w:val="12"/>
              </w:rPr>
              <w:t>Suite</w:t>
            </w:r>
            <w:r>
              <w:rPr>
                <w:rFonts w:ascii="Aptos" w:hAnsi="Aptos"/>
                <w:color w:val="231F20"/>
                <w:spacing w:val="-8"/>
                <w:sz w:val="12"/>
              </w:rPr>
              <w:t xml:space="preserve"> </w:t>
            </w:r>
            <w:r>
              <w:rPr>
                <w:rFonts w:ascii="Times New Roman;Times;serif" w:hAnsi="Times New Roman;Times;serif"/>
                <w:color w:val="231F20"/>
                <w:sz w:val="12"/>
              </w:rPr>
              <w:t>400</w:t>
            </w:r>
            <w:r>
              <w:rPr>
                <w:rFonts w:ascii="Aptos" w:hAnsi="Aptos"/>
                <w:color w:val="231F20"/>
                <w:spacing w:val="-8"/>
                <w:sz w:val="12"/>
              </w:rPr>
              <w:t xml:space="preserve"> </w:t>
            </w:r>
            <w:r>
              <w:rPr>
                <w:rFonts w:ascii="Times New Roman;Times;serif" w:hAnsi="Times New Roman;Times;serif"/>
                <w:color w:val="231F20"/>
                <w:sz w:val="12"/>
              </w:rPr>
              <w:t>Kirkland,</w:t>
            </w:r>
            <w:r>
              <w:rPr>
                <w:rFonts w:ascii="Aptos" w:hAnsi="Aptos"/>
                <w:color w:val="231F20"/>
                <w:spacing w:val="40"/>
                <w:sz w:val="12"/>
              </w:rPr>
              <w:t xml:space="preserve"> </w:t>
            </w:r>
            <w:r>
              <w:rPr>
                <w:rFonts w:ascii="Times New Roman;Times;serif" w:hAnsi="Times New Roman;Times;serif"/>
                <w:color w:val="231F20"/>
                <w:sz w:val="12"/>
              </w:rPr>
              <w:t>WA 98033 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52"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7/26/2029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150,804</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3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522</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465" w:type="dxa"/>
            <w:tcBorders/>
            <w:shd w:fill="CCEEFF" w:val="clear"/>
            <w:vAlign w:val="center"/>
          </w:tcPr>
          <w:p>
            <w:pPr>
              <w:pStyle w:val="TableContents"/>
              <w:bidi w:val="0"/>
              <w:spacing w:lineRule="auto" w:line="285" w:before="0" w:after="0"/>
              <w:ind w:left="0" w:right="58" w:hanging="0"/>
              <w:jc w:val="right"/>
              <w:rPr>
                <w:rFonts w:ascii="Times New Roman;Times;serif" w:hAnsi="Times New Roman;Times;serif"/>
                <w:sz w:val="12"/>
              </w:rPr>
            </w:pPr>
            <w:r>
              <w:rPr>
                <w:rFonts w:ascii="Times New Roman;Times;serif" w:hAnsi="Times New Roman;Times;serif"/>
                <w:sz w:val="12"/>
              </w:rPr>
              <w:t>374</w:t>
            </w:r>
          </w:p>
        </w:tc>
      </w:tr>
    </w:tbl>
    <w:tbl>
      <w:tblPr>
        <w:tblW w:w="3017" w:type="dxa"/>
        <w:jc w:val="left"/>
        <w:tblInd w:w="200" w:type="dxa"/>
        <w:tblLayout w:type="fixed"/>
        <w:tblCellMar>
          <w:top w:w="0" w:type="dxa"/>
          <w:left w:w="0" w:type="dxa"/>
          <w:bottom w:w="0" w:type="dxa"/>
          <w:right w:w="0" w:type="dxa"/>
        </w:tblCellMar>
      </w:tblPr>
      <w:tblGrid>
        <w:gridCol w:w="226"/>
        <w:gridCol w:w="2791"/>
      </w:tblGrid>
      <w:tr>
        <w:trPr/>
        <w:tc>
          <w:tcPr>
            <w:tcW w:w="22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w:t>
            </w:r>
          </w:p>
        </w:tc>
        <w:tc>
          <w:tcPr>
            <w:tcW w:w="279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Value as percentage of net assets</w:t>
            </w:r>
          </w:p>
        </w:tc>
      </w:tr>
    </w:tbl>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28" w:before="0" w:after="160"/>
        <w:ind w:left="200" w:right="200" w:hanging="0"/>
        <w:jc w:val="left"/>
        <w:rPr/>
      </w:pPr>
      <w:r>
        <w:rPr/>
        <w:t>​</w:t>
      </w:r>
    </w:p>
    <w:tbl>
      <w:tblPr>
        <w:tblW w:w="9805" w:type="dxa"/>
        <w:jc w:val="left"/>
        <w:tblInd w:w="200" w:type="dxa"/>
        <w:tblLayout w:type="fixed"/>
        <w:tblCellMar>
          <w:top w:w="0" w:type="dxa"/>
          <w:left w:w="0" w:type="dxa"/>
          <w:bottom w:w="0" w:type="dxa"/>
          <w:right w:w="0" w:type="dxa"/>
        </w:tblCellMar>
      </w:tblPr>
      <w:tblGrid>
        <w:gridCol w:w="890"/>
        <w:gridCol w:w="346"/>
        <w:gridCol w:w="799"/>
        <w:gridCol w:w="346"/>
        <w:gridCol w:w="693"/>
        <w:gridCol w:w="346"/>
        <w:gridCol w:w="725"/>
        <w:gridCol w:w="346"/>
        <w:gridCol w:w="589"/>
        <w:gridCol w:w="346"/>
        <w:gridCol w:w="573"/>
        <w:gridCol w:w="346"/>
        <w:gridCol w:w="570"/>
        <w:gridCol w:w="346"/>
        <w:gridCol w:w="710"/>
        <w:gridCol w:w="346"/>
        <w:gridCol w:w="546"/>
        <w:gridCol w:w="346"/>
        <w:gridCol w:w="596"/>
      </w:tblGrid>
      <w:tr>
        <w:trPr/>
        <w:tc>
          <w:tcPr>
            <w:tcW w:w="8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ind w:left="0" w:right="0" w:hanging="0"/>
              <w:jc w:val="left"/>
              <w:rPr>
                <w:sz w:val="4"/>
                <w:szCs w:val="4"/>
              </w:rPr>
            </w:pPr>
            <w:r>
              <w:rPr>
                <w:sz w:val="4"/>
                <w:szCs w:val="4"/>
              </w:rPr>
            </w:r>
          </w:p>
        </w:tc>
      </w:tr>
      <w:tr>
        <w:trPr/>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65150" cy="29210"/>
                      <wp:effectExtent l="0" t="0" r="0" b="0"/>
                      <wp:wrapNone/>
                      <wp:docPr id="70" name="Frame68"/>
                      <a:graphic xmlns:a="http://schemas.openxmlformats.org/drawingml/2006/main">
                        <a:graphicData uri="http://schemas.microsoft.com/office/word/2010/wordprocessingShape">
                          <wps:wsp>
                            <wps:cNvSpPr txBox="1"/>
                            <wps:spPr>
                              <a:xfrm>
                                <a:off x="0" y="0"/>
                                <a:ext cx="565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29210"/>
                      <wp:effectExtent l="0" t="0" r="0" b="0"/>
                      <wp:wrapNone/>
                      <wp:docPr id="71" name="Frame6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07365" cy="29210"/>
                      <wp:effectExtent l="0" t="0" r="0" b="0"/>
                      <wp:wrapNone/>
                      <wp:docPr id="72" name="Frame70"/>
                      <a:graphic xmlns:a="http://schemas.openxmlformats.org/drawingml/2006/main">
                        <a:graphicData uri="http://schemas.microsoft.com/office/word/2010/wordprocessingShape">
                          <wps:wsp>
                            <wps:cNvSpPr txBox="1"/>
                            <wps:spPr>
                              <a:xfrm>
                                <a:off x="0" y="0"/>
                                <a:ext cx="5073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29210"/>
                      <wp:effectExtent l="0" t="0" r="0" b="0"/>
                      <wp:wrapNone/>
                      <wp:docPr id="73" name="Frame7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40055" cy="29210"/>
                      <wp:effectExtent l="0" t="0" r="0" b="0"/>
                      <wp:wrapNone/>
                      <wp:docPr id="74" name="Frame72"/>
                      <a:graphic xmlns:a="http://schemas.openxmlformats.org/drawingml/2006/main">
                        <a:graphicData uri="http://schemas.microsoft.com/office/word/2010/wordprocessingShape">
                          <wps:wsp>
                            <wps:cNvSpPr txBox="1"/>
                            <wps:spPr>
                              <a:xfrm>
                                <a:off x="0" y="0"/>
                                <a:ext cx="4400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29210"/>
                      <wp:effectExtent l="0" t="0" r="0" b="0"/>
                      <wp:wrapNone/>
                      <wp:docPr id="75" name="Frame7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60375" cy="29210"/>
                      <wp:effectExtent l="0" t="0" r="0" b="0"/>
                      <wp:wrapNone/>
                      <wp:docPr id="76" name="Frame74"/>
                      <a:graphic xmlns:a="http://schemas.openxmlformats.org/drawingml/2006/main">
                        <a:graphicData uri="http://schemas.microsoft.com/office/word/2010/wordprocessingShape">
                          <wps:wsp>
                            <wps:cNvSpPr txBox="1"/>
                            <wps:spPr>
                              <a:xfrm>
                                <a:off x="0" y="0"/>
                                <a:ext cx="4603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29210"/>
                      <wp:effectExtent l="0" t="0" r="0" b="0"/>
                      <wp:wrapNone/>
                      <wp:docPr id="77" name="Frame7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74015" cy="29210"/>
                      <wp:effectExtent l="0" t="0" r="0" b="0"/>
                      <wp:wrapNone/>
                      <wp:docPr id="78" name="Frame76"/>
                      <a:graphic xmlns:a="http://schemas.openxmlformats.org/drawingml/2006/main">
                        <a:graphicData uri="http://schemas.microsoft.com/office/word/2010/wordprocessingShape">
                          <wps:wsp>
                            <wps:cNvSpPr txBox="1"/>
                            <wps:spPr>
                              <a:xfrm>
                                <a:off x="0" y="0"/>
                                <a:ext cx="3740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29210"/>
                      <wp:effectExtent l="0" t="0" r="0" b="0"/>
                      <wp:wrapNone/>
                      <wp:docPr id="79" name="Frame7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63855" cy="29210"/>
                      <wp:effectExtent l="0" t="0" r="0" b="0"/>
                      <wp:wrapNone/>
                      <wp:docPr id="80" name="Frame78"/>
                      <a:graphic xmlns:a="http://schemas.openxmlformats.org/drawingml/2006/main">
                        <a:graphicData uri="http://schemas.microsoft.com/office/word/2010/wordprocessingShape">
                          <wps:wsp>
                            <wps:cNvSpPr txBox="1"/>
                            <wps:spPr>
                              <a:xfrm>
                                <a:off x="0" y="0"/>
                                <a:ext cx="363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29210"/>
                      <wp:effectExtent l="0" t="0" r="0" b="0"/>
                      <wp:wrapNone/>
                      <wp:docPr id="81" name="Frame7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61950" cy="29210"/>
                      <wp:effectExtent l="0" t="0" r="0" b="0"/>
                      <wp:wrapNone/>
                      <wp:docPr id="82" name="Frame80"/>
                      <a:graphic xmlns:a="http://schemas.openxmlformats.org/drawingml/2006/main">
                        <a:graphicData uri="http://schemas.microsoft.com/office/word/2010/wordprocessingShape">
                          <wps:wsp>
                            <wps:cNvSpPr txBox="1"/>
                            <wps:spPr>
                              <a:xfrm>
                                <a:off x="0" y="0"/>
                                <a:ext cx="3619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29210"/>
                      <wp:effectExtent l="0" t="0" r="0" b="0"/>
                      <wp:wrapNone/>
                      <wp:docPr id="83" name="Frame8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50850" cy="29210"/>
                      <wp:effectExtent l="0" t="0" r="0" b="0"/>
                      <wp:wrapNone/>
                      <wp:docPr id="84" name="Frame82"/>
                      <a:graphic xmlns:a="http://schemas.openxmlformats.org/drawingml/2006/main">
                        <a:graphicData uri="http://schemas.microsoft.com/office/word/2010/wordprocessingShape">
                          <wps:wsp>
                            <wps:cNvSpPr txBox="1"/>
                            <wps:spPr>
                              <a:xfrm>
                                <a:off x="0" y="0"/>
                                <a:ext cx="4508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29210"/>
                      <wp:effectExtent l="0" t="0" r="0" b="0"/>
                      <wp:wrapNone/>
                      <wp:docPr id="85" name="Frame8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46710" cy="29210"/>
                      <wp:effectExtent l="0" t="0" r="0" b="0"/>
                      <wp:wrapNone/>
                      <wp:docPr id="86" name="Frame84"/>
                      <a:graphic xmlns:a="http://schemas.openxmlformats.org/drawingml/2006/main">
                        <a:graphicData uri="http://schemas.microsoft.com/office/word/2010/wordprocessingShape">
                          <wps:wsp>
                            <wps:cNvSpPr txBox="1"/>
                            <wps:spPr>
                              <a:xfrm>
                                <a:off x="0" y="0"/>
                                <a:ext cx="346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29210"/>
                      <wp:effectExtent l="0" t="0" r="0" b="0"/>
                      <wp:wrapNone/>
                      <wp:docPr id="87" name="Frame8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78460" cy="29210"/>
                      <wp:effectExtent l="0" t="0" r="0" b="0"/>
                      <wp:wrapNone/>
                      <wp:docPr id="88" name="Frame86"/>
                      <a:graphic xmlns:a="http://schemas.openxmlformats.org/drawingml/2006/main">
                        <a:graphicData uri="http://schemas.microsoft.com/office/word/2010/wordprocessingShape">
                          <wps:wsp>
                            <wps:cNvSpPr txBox="1"/>
                            <wps:spPr>
                              <a:xfrm>
                                <a:off x="0" y="0"/>
                                <a:ext cx="378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9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9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2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10"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Percentage of </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96" w:type="dxa"/>
            <w:tcBorders/>
            <w:vAlign w:val="center"/>
          </w:tcPr>
          <w:p>
            <w:pPr>
              <w:pStyle w:val="TableContents"/>
              <w:bidi w:val="0"/>
              <w:spacing w:before="0" w:after="283"/>
              <w:ind w:left="0" w:right="0" w:hanging="0"/>
              <w:jc w:val="left"/>
              <w:rPr>
                <w:sz w:val="4"/>
                <w:szCs w:val="4"/>
              </w:rPr>
            </w:pPr>
            <w:r>
              <w:rPr>
                <w:sz w:val="4"/>
                <w:szCs w:val="4"/>
              </w:rPr>
            </w:r>
          </w:p>
        </w:tc>
      </w:tr>
      <w:tr>
        <w:trPr/>
        <w:tc>
          <w:tcPr>
            <w:tcW w:w="89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9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3"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2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7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10"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Class Held on a</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Cost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9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Fair</w:t>
            </w:r>
          </w:p>
        </w:tc>
      </w:tr>
      <w:tr>
        <w:trPr/>
        <w:tc>
          <w:tcPr>
            <w:tcW w:w="890"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Portfolio Company</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79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6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Type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7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Investment Description</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58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Maturity Date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57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Principal ($)</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57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71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Fully Diluted Basis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5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59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Value ($)</w:t>
            </w:r>
          </w:p>
        </w:tc>
      </w:tr>
      <w:tr>
        <w:trPr/>
        <w:tc>
          <w:tcPr>
            <w:tcW w:w="890" w:type="dxa"/>
            <w:tcBorders>
              <w:top w:val="single" w:sz="2" w:space="0" w:color="000000"/>
            </w:tcBorders>
            <w:shd w:fill="CCEEFF" w:val="clear"/>
            <w:tcMar>
              <w:top w:w="28" w:type="dxa"/>
            </w:tcMar>
            <w:vAlign w:val="center"/>
          </w:tcPr>
          <w:p>
            <w:pPr>
              <w:pStyle w:val="TableContents"/>
              <w:pBdr/>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Longtail Ad Solutions, Inc. (dba JW Player)</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99" w:type="dxa"/>
            <w:tcBorders>
              <w:top w:val="single" w:sz="2" w:space="0" w:color="000000"/>
            </w:tcBorders>
            <w:shd w:fill="CCEEFF" w:val="clear"/>
            <w:tcMar>
              <w:top w:w="28" w:type="dxa"/>
            </w:tcM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530 7th Avenue Suite 1906 New York, NY 10018 United States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693"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2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Common Stock</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89"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12/12/2029</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3"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7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387,596</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1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4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47</w:t>
            </w:r>
          </w:p>
        </w:tc>
        <w:tc>
          <w:tcPr>
            <w:tcW w:w="3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9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315</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Skillshare, Inc.</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99" w:type="dxa"/>
            <w:tcBorders/>
            <w:vAlign w:val="center"/>
          </w:tcPr>
          <w:p>
            <w:pPr>
              <w:pStyle w:val="TableContents"/>
              <w:bidi w:val="0"/>
              <w:spacing w:lineRule="auto" w:line="285" w:before="0" w:after="6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215 Park Avenue South 11th Floor New York, NY 10003 United States</w:t>
            </w:r>
          </w:p>
        </w:tc>
        <w:tc>
          <w:tcPr>
            <w:tcW w:w="346" w:type="dxa"/>
            <w:tcBorders/>
            <w:vAlign w:val="center"/>
          </w:tcPr>
          <w:p>
            <w:pPr>
              <w:pStyle w:val="TableContents"/>
              <w:bidi w:val="0"/>
              <w:spacing w:lineRule="auto" w:line="285" w:before="0" w:after="0"/>
              <w:ind w:left="0" w:right="0" w:hanging="0"/>
              <w:jc w:val="left"/>
              <w:rPr/>
            </w:pPr>
            <w:r>
              <w:rPr/>
              <w:t>  ​</w:t>
            </w:r>
          </w:p>
        </w:tc>
        <w:tc>
          <w:tcPr>
            <w:tcW w:w="69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Success</w:t>
            </w:r>
            <w:r>
              <w:rPr>
                <w:rFonts w:ascii="Aptos" w:hAnsi="Aptos"/>
                <w:color w:val="231F20"/>
                <w:spacing w:val="-6"/>
                <w:sz w:val="12"/>
              </w:rPr>
              <w:t xml:space="preserve"> </w:t>
            </w:r>
            <w:r>
              <w:rPr>
                <w:rFonts w:ascii="Times New Roman;Times;serif" w:hAnsi="Times New Roman;Times;serif"/>
                <w:color w:val="231F20"/>
                <w:spacing w:val="-5"/>
                <w:sz w:val="12"/>
              </w:rPr>
              <w:t>fee</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center"/>
              <w:rPr/>
            </w:pPr>
            <w:r>
              <w:rPr/>
              <w:t>​</w:t>
            </w:r>
          </w:p>
        </w:tc>
        <w:tc>
          <w:tcPr>
            <w:tcW w:w="57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71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301</w:t>
            </w:r>
          </w:p>
        </w:tc>
        <w:tc>
          <w:tcPr>
            <w:tcW w:w="346" w:type="dxa"/>
            <w:tcBorders/>
            <w:vAlign w:val="center"/>
          </w:tcPr>
          <w:p>
            <w:pPr>
              <w:pStyle w:val="TableContents"/>
              <w:bidi w:val="0"/>
              <w:spacing w:lineRule="auto" w:line="328" w:before="0" w:after="160"/>
              <w:ind w:left="0" w:right="0" w:hanging="0"/>
              <w:jc w:val="right"/>
              <w:rPr/>
            </w:pPr>
            <w:r>
              <w:rPr/>
              <w:t>​</w:t>
            </w:r>
          </w:p>
        </w:tc>
        <w:tc>
          <w:tcPr>
            <w:tcW w:w="59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405</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Synack,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303 Twin Dolphin Drive, 6th Floor Redwood City, CA 94065 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Common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6/30/2032</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7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116,908</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1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147</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5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175</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12"/>
              </w:rPr>
            </w:pPr>
            <w:r>
              <w:rPr>
                <w:rFonts w:ascii="Times New Roman;Times;serif" w:hAnsi="Times New Roman;Times;serif"/>
                <w:b/>
                <w:color w:val="231F20"/>
                <w:sz w:val="12"/>
              </w:rPr>
              <w:t>Total Internet Software and Services – 0.82%*</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center"/>
              <w:rPr/>
            </w:pPr>
            <w:r>
              <w:rPr/>
              <w:t>​</w:t>
            </w:r>
          </w:p>
        </w:tc>
        <w:tc>
          <w:tcPr>
            <w:tcW w:w="57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71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3,713</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4,150</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color w:val="231F20"/>
                <w:sz w:val="12"/>
              </w:rPr>
            </w:pPr>
            <w:r>
              <w:rPr>
                <w:rFonts w:ascii="Times New Roman;Times;serif" w:hAnsi="Times New Roman;Times;serif"/>
                <w:b/>
                <w:color w:val="231F20"/>
                <w:sz w:val="12"/>
              </w:rPr>
              <w:t>Property &amp; Casualty Insurance</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7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1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Kin Insurance, Inc.</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222 Merchandise Mart Plaza Suite 228 Chicago, IL 60654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Series D-3 Preferred 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9/26/2032</w:t>
            </w:r>
          </w:p>
        </w:tc>
        <w:tc>
          <w:tcPr>
            <w:tcW w:w="346" w:type="dxa"/>
            <w:tcBorders/>
            <w:vAlign w:val="center"/>
          </w:tcPr>
          <w:p>
            <w:pPr>
              <w:pStyle w:val="TableContents"/>
              <w:bidi w:val="0"/>
              <w:spacing w:lineRule="auto" w:line="328" w:before="0" w:after="160"/>
              <w:ind w:left="0" w:right="0" w:hanging="0"/>
              <w:jc w:val="center"/>
              <w:rPr/>
            </w:pPr>
            <w:r>
              <w:rPr/>
              <w:t>​</w:t>
            </w:r>
          </w:p>
        </w:tc>
        <w:tc>
          <w:tcPr>
            <w:tcW w:w="57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41,576</w:t>
            </w:r>
          </w:p>
        </w:tc>
        <w:tc>
          <w:tcPr>
            <w:tcW w:w="346" w:type="dxa"/>
            <w:tcBorders/>
            <w:vAlign w:val="center"/>
          </w:tcPr>
          <w:p>
            <w:pPr>
              <w:pStyle w:val="TableContents"/>
              <w:bidi w:val="0"/>
              <w:spacing w:lineRule="auto" w:line="328" w:before="0" w:after="160"/>
              <w:ind w:left="0" w:right="0" w:hanging="0"/>
              <w:jc w:val="right"/>
              <w:rPr/>
            </w:pPr>
            <w:r>
              <w:rPr/>
              <w:t>​</w:t>
            </w:r>
          </w:p>
        </w:tc>
        <w:tc>
          <w:tcPr>
            <w:tcW w:w="71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302</w:t>
            </w:r>
          </w:p>
        </w:tc>
        <w:tc>
          <w:tcPr>
            <w:tcW w:w="346" w:type="dxa"/>
            <w:tcBorders/>
            <w:vAlign w:val="center"/>
          </w:tcPr>
          <w:p>
            <w:pPr>
              <w:pStyle w:val="TableContents"/>
              <w:bidi w:val="0"/>
              <w:spacing w:lineRule="auto" w:line="328" w:before="0" w:after="160"/>
              <w:ind w:left="0" w:right="0" w:hanging="0"/>
              <w:jc w:val="right"/>
              <w:rPr/>
            </w:pPr>
            <w:r>
              <w:rPr/>
              <w:t>​</w:t>
            </w:r>
          </w:p>
        </w:tc>
        <w:tc>
          <w:tcPr>
            <w:tcW w:w="59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322</w:t>
            </w:r>
          </w:p>
        </w:tc>
      </w:tr>
      <w:tr>
        <w:trPr/>
        <w:tc>
          <w:tcPr>
            <w:tcW w:w="890"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7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1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96" w:type="dxa"/>
            <w:tcBorders/>
            <w:shd w:fill="CCEEFF" w:val="clear"/>
            <w:vAlign w:val="center"/>
          </w:tcPr>
          <w:p>
            <w:pPr>
              <w:pStyle w:val="TableContents"/>
              <w:bidi w:val="0"/>
              <w:spacing w:lineRule="auto" w:line="328" w:before="0" w:after="160"/>
              <w:ind w:left="0" w:right="0" w:hanging="0"/>
              <w:jc w:val="right"/>
              <w:rPr/>
            </w:pPr>
            <w:r>
              <w:rPr/>
              <w:t>​</w:t>
            </w:r>
          </w:p>
        </w:tc>
      </w:tr>
      <w:tr>
        <w:trPr/>
        <w:tc>
          <w:tcPr>
            <w:tcW w:w="890"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Series D-3 Preferred 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9/26/2032</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11,549</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69</w:t>
            </w:r>
          </w:p>
        </w:tc>
        <w:tc>
          <w:tcPr>
            <w:tcW w:w="346" w:type="dxa"/>
            <w:tcBorders/>
            <w:vAlign w:val="center"/>
          </w:tcPr>
          <w:p>
            <w:pPr>
              <w:pStyle w:val="TableContents"/>
              <w:bidi w:val="0"/>
              <w:spacing w:lineRule="auto" w:line="328" w:before="0" w:after="160"/>
              <w:ind w:left="0" w:right="0" w:hanging="0"/>
              <w:jc w:val="right"/>
              <w:rPr/>
            </w:pPr>
            <w:r>
              <w:rPr/>
              <w:t>​</w:t>
            </w:r>
          </w:p>
        </w:tc>
        <w:tc>
          <w:tcPr>
            <w:tcW w:w="596"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89</w:t>
            </w:r>
          </w:p>
        </w:tc>
      </w:tr>
      <w:tr>
        <w:trPr/>
        <w:tc>
          <w:tcPr>
            <w:tcW w:w="890"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Series D-3 Preferred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9/26/2032</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9,239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55</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5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72</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12"/>
              </w:rPr>
            </w:pPr>
            <w:r>
              <w:rPr>
                <w:rFonts w:ascii="Times New Roman;Times;serif" w:hAnsi="Times New Roman;Times;serif"/>
                <w:b/>
                <w:color w:val="231F20"/>
                <w:sz w:val="12"/>
              </w:rPr>
              <w:t>Total Property &amp; Casualty Insurance – 0.10%*</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4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426</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483</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color w:val="231F20"/>
                <w:spacing w:val="-2"/>
                <w:sz w:val="12"/>
              </w:rPr>
            </w:pPr>
            <w:r>
              <w:rPr>
                <w:rFonts w:ascii="Times New Roman;Times;serif" w:hAnsi="Times New Roman;Times;serif"/>
                <w:b/>
                <w:color w:val="231F20"/>
                <w:spacing w:val="-2"/>
                <w:sz w:val="12"/>
              </w:rPr>
              <w:t>Specialized Consumer Services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center"/>
              <w:rPr/>
            </w:pPr>
            <w:r>
              <w:rPr/>
              <w:t>​</w:t>
            </w:r>
          </w:p>
        </w:tc>
        <w:tc>
          <w:tcPr>
            <w:tcW w:w="57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71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AllClear ID, Inc.</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285" w:before="0" w:after="60"/>
              <w:ind w:left="0" w:right="0" w:hanging="0"/>
              <w:jc w:val="left"/>
              <w:rPr>
                <w:rFonts w:ascii="Times New Roman;Times;serif" w:hAnsi="Times New Roman;Times;serif"/>
                <w:color w:val="231F20"/>
                <w:sz w:val="12"/>
              </w:rPr>
            </w:pPr>
            <w:r>
              <w:rPr>
                <w:rFonts w:ascii="Times New Roman;Times;serif" w:hAnsi="Times New Roman;Times;serif"/>
                <w:color w:val="231F20"/>
                <w:sz w:val="12"/>
              </w:rPr>
              <w:t>9600 Escarpment Boulevard Suite 745 Number 225 Austin, TX 78749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8/31/2027</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523,893</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4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1,053</w:t>
            </w:r>
          </w:p>
        </w:tc>
        <w:tc>
          <w:tcPr>
            <w:tcW w:w="346" w:type="dxa"/>
            <w:tcBorders/>
            <w:vAlign w:val="center"/>
          </w:tcPr>
          <w:p>
            <w:pPr>
              <w:pStyle w:val="TableContents"/>
              <w:bidi w:val="0"/>
              <w:spacing w:lineRule="auto" w:line="328" w:before="0" w:after="160"/>
              <w:ind w:left="0" w:right="0" w:hanging="0"/>
              <w:jc w:val="right"/>
              <w:rPr/>
            </w:pPr>
            <w:r>
              <w:rPr/>
              <w:t>​</w:t>
            </w:r>
          </w:p>
        </w:tc>
        <w:tc>
          <w:tcPr>
            <w:tcW w:w="596" w:type="dxa"/>
            <w:tcBorders/>
            <w:vAlign w:val="center"/>
          </w:tcPr>
          <w:p>
            <w:pPr>
              <w:pStyle w:val="TableContents"/>
              <w:bidi w:val="0"/>
              <w:spacing w:lineRule="auto" w:line="285" w:before="0" w:after="0"/>
              <w:ind w:left="0" w:right="0" w:hanging="0"/>
              <w:jc w:val="right"/>
              <w:rPr>
                <w:color w:val="231F20"/>
                <w:spacing w:val="-10"/>
              </w:rPr>
            </w:pPr>
            <w:r>
              <w:rPr>
                <w:color w:val="231F20"/>
                <w:spacing w:val="-10"/>
              </w:rPr>
              <w:t xml:space="preserve">— </w:t>
            </w:r>
          </w:p>
        </w:tc>
      </w:tr>
      <w:tr>
        <w:trPr/>
        <w:tc>
          <w:tcPr>
            <w:tcW w:w="890" w:type="dxa"/>
            <w:tcBorders/>
            <w:shd w:fill="CCEEFF" w:val="clear"/>
            <w:vAlign w:val="center"/>
          </w:tcPr>
          <w:p>
            <w:pPr>
              <w:pStyle w:val="TableContents"/>
              <w:bidi w:val="0"/>
              <w:spacing w:lineRule="auto" w:line="328" w:before="0" w:after="16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8/31/2027</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346,621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697</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96" w:type="dxa"/>
            <w:tcBorders/>
            <w:shd w:fill="CCEEFF" w:val="cle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Credit Sesame, Inc.</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285" w:before="0" w:after="60"/>
              <w:ind w:left="0" w:right="0" w:hanging="0"/>
              <w:jc w:val="left"/>
              <w:rPr>
                <w:rFonts w:ascii="Times New Roman;Times;serif" w:hAnsi="Times New Roman;Times;serif"/>
                <w:color w:val="231F20"/>
                <w:sz w:val="12"/>
              </w:rPr>
            </w:pPr>
            <w:r>
              <w:rPr>
                <w:rFonts w:ascii="Times New Roman;Times;serif" w:hAnsi="Times New Roman;Times;serif"/>
                <w:color w:val="231F20"/>
                <w:sz w:val="12"/>
              </w:rPr>
              <w:t>444 Castro Street Suite 500 Mountain View, CA 94041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Common</w:t>
            </w:r>
            <w:r>
              <w:rPr>
                <w:rFonts w:ascii="Aptos" w:hAnsi="Aptos"/>
                <w:color w:val="231F20"/>
                <w:spacing w:val="-7"/>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1/7/2030</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191,601</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425</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5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10"/>
                <w:sz w:val="12"/>
              </w:rPr>
            </w:pPr>
            <w:r>
              <w:rPr>
                <w:rFonts w:ascii="Times New Roman;Times;serif" w:hAnsi="Times New Roman;Times;serif"/>
                <w:color w:val="231F20"/>
                <w:spacing w:val="-10"/>
                <w:sz w:val="12"/>
              </w:rPr>
              <w:t>365</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color w:val="231F20"/>
                <w:sz w:val="12"/>
              </w:rPr>
            </w:pPr>
            <w:r>
              <w:rPr>
                <w:rFonts w:ascii="Times New Roman;Times;serif" w:hAnsi="Times New Roman;Times;serif"/>
                <w:b/>
                <w:color w:val="231F20"/>
                <w:sz w:val="12"/>
              </w:rPr>
              <w:t>Total Specialized Consumer Services – 0.07%*</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2,175</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365</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z w:val="12"/>
              </w:rPr>
            </w:pPr>
            <w:r>
              <w:rPr>
                <w:rFonts w:ascii="Times New Roman;Times;serif" w:hAnsi="Times New Roman;Times;serif"/>
                <w:b/>
                <w:color w:val="231F20"/>
                <w:sz w:val="12"/>
              </w:rPr>
              <w:t>System Software</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pPr>
            <w:r>
              <w:rPr/>
              <w:t>​</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Dejero Labs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color w:val="231F20"/>
                <w:sz w:val="12"/>
              </w:rPr>
            </w:pPr>
            <w:r>
              <w:rPr>
                <w:rFonts w:ascii="Times New Roman;Times;serif" w:hAnsi="Times New Roman;Times;serif"/>
                <w:color w:val="231F20"/>
                <w:sz w:val="12"/>
              </w:rPr>
              <w:t>410 Albert Street Suite 200 Waterloo, Ontario N2L 3V3 Canada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Common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5/31/2029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333,621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192</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10"/>
                <w:sz w:val="12"/>
              </w:rPr>
            </w:pPr>
            <w:r>
              <w:rPr>
                <w:rFonts w:ascii="Times New Roman;Times;serif" w:hAnsi="Times New Roman;Times;serif"/>
                <w:color w:val="231F20"/>
                <w:spacing w:val="-10"/>
                <w:sz w:val="12"/>
              </w:rPr>
              <w:t>279</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Linxup, LLC</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424 South Woods Mill Road Suite 210 Saint Louis, MO 63017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285" w:before="0" w:after="0"/>
              <w:ind w:left="0" w:right="0" w:hanging="0"/>
              <w:jc w:val="left"/>
              <w:rPr>
                <w:rFonts w:ascii="Aptos" w:hAnsi="Aptos"/>
                <w:sz w:val="12"/>
              </w:rPr>
            </w:pPr>
            <w:r>
              <w:rPr>
                <w:rFonts w:ascii="Times New Roman;Times;serif" w:hAnsi="Times New Roman;Times;serif"/>
                <w:color w:val="231F20"/>
                <w:sz w:val="12"/>
              </w:rPr>
              <w:t>Success</w:t>
            </w:r>
            <w:r>
              <w:rPr>
                <w:rFonts w:ascii="Aptos" w:hAnsi="Aptos"/>
                <w:color w:val="231F20"/>
                <w:spacing w:val="-6"/>
                <w:sz w:val="12"/>
              </w:rPr>
              <w:t xml:space="preserve"> </w:t>
            </w:r>
            <w:r>
              <w:rPr>
                <w:rFonts w:ascii="Times New Roman;Times;serif" w:hAnsi="Times New Roman;Times;serif"/>
                <w:color w:val="231F20"/>
                <w:spacing w:val="-5"/>
                <w:sz w:val="12"/>
              </w:rPr>
              <w:t>fee</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11/3/2033</w:t>
            </w:r>
          </w:p>
        </w:tc>
        <w:tc>
          <w:tcPr>
            <w:tcW w:w="346" w:type="dxa"/>
            <w:tcBorders/>
            <w:vAlign w:val="center"/>
          </w:tcPr>
          <w:p>
            <w:pPr>
              <w:pStyle w:val="TableContents"/>
              <w:bidi w:val="0"/>
              <w:spacing w:lineRule="auto" w:line="328" w:before="0" w:after="160"/>
              <w:ind w:left="0" w:right="0" w:hanging="0"/>
              <w:jc w:val="center"/>
              <w:rPr/>
            </w:pPr>
            <w:r>
              <w:rPr/>
              <w:t>​</w:t>
            </w:r>
          </w:p>
        </w:tc>
        <w:tc>
          <w:tcPr>
            <w:tcW w:w="57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71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253</w:t>
            </w:r>
          </w:p>
        </w:tc>
        <w:tc>
          <w:tcPr>
            <w:tcW w:w="346" w:type="dxa"/>
            <w:tcBorders/>
            <w:vAlign w:val="center"/>
          </w:tcPr>
          <w:p>
            <w:pPr>
              <w:pStyle w:val="TableContents"/>
              <w:bidi w:val="0"/>
              <w:spacing w:lineRule="auto" w:line="328" w:before="0" w:after="160"/>
              <w:ind w:left="0" w:right="0" w:hanging="0"/>
              <w:jc w:val="right"/>
              <w:rPr/>
            </w:pPr>
            <w:r>
              <w:rPr/>
              <w:t>​</w:t>
            </w:r>
          </w:p>
        </w:tc>
        <w:tc>
          <w:tcPr>
            <w:tcW w:w="59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10"/>
                <w:sz w:val="12"/>
              </w:rPr>
            </w:pPr>
            <w:r>
              <w:rPr>
                <w:rFonts w:ascii="Times New Roman;Times;serif" w:hAnsi="Times New Roman;Times;serif"/>
                <w:color w:val="231F20"/>
                <w:spacing w:val="-10"/>
                <w:sz w:val="12"/>
              </w:rPr>
              <w:t>247</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Scale Computing,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color w:val="231F20"/>
                <w:sz w:val="12"/>
              </w:rPr>
            </w:pPr>
            <w:r>
              <w:rPr>
                <w:rFonts w:ascii="Times New Roman;Times;serif" w:hAnsi="Times New Roman;Times;serif"/>
                <w:color w:val="231F20"/>
                <w:sz w:val="12"/>
              </w:rPr>
              <w:t>525 South Meridian Suite 3E Indianapolis, IN 46225 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Common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3/29/2029</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9,665,667</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346</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5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olor w:val="231F20"/>
                <w:spacing w:val="-5"/>
              </w:rPr>
            </w:pPr>
            <w:r>
              <w:rPr>
                <w:color w:val="231F20"/>
                <w:spacing w:val="-5"/>
              </w:rPr>
              <w:t>—</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System Software – 0.10%*</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791</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526</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color w:val="231F20"/>
                <w:sz w:val="12"/>
              </w:rPr>
            </w:pPr>
            <w:r>
              <w:rPr>
                <w:rFonts w:ascii="Times New Roman;Times;serif" w:hAnsi="Times New Roman;Times;serif"/>
                <w:b/>
                <w:color w:val="231F20"/>
                <w:sz w:val="12"/>
              </w:rPr>
              <w:t>Technology Hardware, Storage &amp; Peripherals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tcBorders>
            <w:shd w:fill="CCEEFF" w:val="clear"/>
            <w:tcMar>
              <w:top w:w="28" w:type="dxa"/>
            </w:tcMar>
            <w:vAlign w:val="center"/>
          </w:tcPr>
          <w:p>
            <w:pPr>
              <w:pStyle w:val="TableContents"/>
              <w:bidi w:val="0"/>
              <w:spacing w:lineRule="auto" w:line="328" w:before="0" w:after="160"/>
              <w:ind w:left="0" w:right="0" w:hanging="0"/>
              <w:jc w:val="right"/>
              <w:rPr/>
            </w:pPr>
            <w:r>
              <w:rPr/>
              <w:t>​</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RealWear, Inc.</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285" w:before="0" w:after="60"/>
              <w:ind w:left="0" w:right="0" w:hanging="0"/>
              <w:jc w:val="left"/>
              <w:rPr>
                <w:rFonts w:ascii="Times New Roman;Times;serif" w:hAnsi="Times New Roman;Times;serif"/>
                <w:color w:val="231F20"/>
                <w:sz w:val="12"/>
              </w:rPr>
            </w:pPr>
            <w:r>
              <w:rPr>
                <w:rFonts w:ascii="Times New Roman;Times;serif" w:hAnsi="Times New Roman;Times;serif"/>
                <w:color w:val="231F20"/>
                <w:sz w:val="12"/>
              </w:rPr>
              <w:t>600 Hatheway Road Suite 105 Vancouver, WA 98661 United States</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Series A Preferred 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10/5/2028</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112,451</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136</w:t>
            </w:r>
          </w:p>
        </w:tc>
        <w:tc>
          <w:tcPr>
            <w:tcW w:w="346" w:type="dxa"/>
            <w:tcBorders/>
            <w:vAlign w:val="center"/>
          </w:tcPr>
          <w:p>
            <w:pPr>
              <w:pStyle w:val="TableContents"/>
              <w:bidi w:val="0"/>
              <w:spacing w:lineRule="auto" w:line="328" w:before="0" w:after="160"/>
              <w:ind w:left="0" w:right="0" w:hanging="0"/>
              <w:jc w:val="right"/>
              <w:rPr/>
            </w:pPr>
            <w:r>
              <w:rPr/>
              <w:t>​</w:t>
            </w:r>
          </w:p>
        </w:tc>
        <w:tc>
          <w:tcPr>
            <w:tcW w:w="596"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180</w:t>
            </w:r>
          </w:p>
        </w:tc>
      </w:tr>
      <w:tr>
        <w:trPr/>
        <w:tc>
          <w:tcPr>
            <w:tcW w:w="890"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Series A Preferred Stock</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12/28/2028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22,491</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25</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36</w:t>
            </w:r>
          </w:p>
        </w:tc>
      </w:tr>
      <w:tr>
        <w:trPr/>
        <w:tc>
          <w:tcPr>
            <w:tcW w:w="890"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4"/>
                <w:sz w:val="12"/>
              </w:rPr>
            </w:pPr>
            <w:r>
              <w:rPr>
                <w:rFonts w:ascii="Times New Roman;Times;serif" w:hAnsi="Times New Roman;Times;serif"/>
                <w:color w:val="231F20"/>
                <w:spacing w:val="-4"/>
                <w:sz w:val="12"/>
              </w:rPr>
              <w:t>Warrants</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z w:val="12"/>
              </w:rPr>
            </w:pPr>
            <w:r>
              <w:rPr>
                <w:rFonts w:ascii="Times New Roman;Times;serif" w:hAnsi="Times New Roman;Times;serif"/>
                <w:color w:val="231F20"/>
                <w:sz w:val="12"/>
              </w:rPr>
              <w:t>Series A Preferred Stock</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6/27/2029</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123,894</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381</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5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166</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Technology Hardware, Storage &amp; Peripherals – 0.08%*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542</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382</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Warrants – 3.20%*</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23,930</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16,209</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Non-Control/Non-Affiliate Investments – 197.18%*</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1,044,022</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1,000,405</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Affiliate Investments</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color w:val="231F20"/>
                <w:spacing w:val="-5"/>
              </w:rPr>
            </w:pPr>
            <w:r>
              <w:rPr>
                <w:color w:val="231F20"/>
                <w:spacing w:val="-5"/>
              </w:rPr>
              <w:t>​</w:t>
            </w:r>
          </w:p>
        </w:tc>
        <w:tc>
          <w:tcPr>
            <w:tcW w:w="346" w:type="dxa"/>
            <w:tcBorders/>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tcBorders>
            <w:tcMar>
              <w:top w:w="28" w:type="dxa"/>
            </w:tcMar>
            <w:vAlign w:val="center"/>
          </w:tcPr>
          <w:p>
            <w:pPr>
              <w:pStyle w:val="TableContents"/>
              <w:bidi w:val="0"/>
              <w:spacing w:lineRule="auto" w:line="328" w:before="0" w:after="160"/>
              <w:ind w:left="0" w:right="0" w:hanging="0"/>
              <w:jc w:val="right"/>
              <w:rPr>
                <w:color w:val="231F20"/>
                <w:spacing w:val="-5"/>
              </w:rPr>
            </w:pPr>
            <w:r>
              <w:rPr>
                <w:color w:val="231F20"/>
                <w:spacing w:val="-5"/>
              </w:rPr>
              <w:t>​</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Debt Investments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shd w:fill="CCEEFF" w:val="clear"/>
            <w:vAlign w:val="center"/>
          </w:tcPr>
          <w:p>
            <w:pPr>
              <w:pStyle w:val="TableContents"/>
              <w:bidi w:val="0"/>
              <w:spacing w:lineRule="auto" w:line="328" w:before="0" w:after="16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96" w:type="dxa"/>
            <w:tcBorders/>
            <w:shd w:fill="CCEEFF" w:val="clear"/>
            <w:vAlign w:val="center"/>
          </w:tcPr>
          <w:p>
            <w:pPr>
              <w:pStyle w:val="TableContents"/>
              <w:bidi w:val="0"/>
              <w:spacing w:lineRule="auto" w:line="328" w:before="0" w:after="160"/>
              <w:ind w:left="0" w:right="0" w:hanging="0"/>
              <w:jc w:val="right"/>
              <w:rPr>
                <w:color w:val="231F20"/>
                <w:spacing w:val="-5"/>
              </w:rPr>
            </w:pPr>
            <w:r>
              <w:rPr>
                <w:color w:val="231F20"/>
                <w:spacing w:val="-5"/>
              </w:rPr>
              <w:t>​</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Healthcare Technology</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vAlign w:val="center"/>
          </w:tcPr>
          <w:p>
            <w:pPr>
              <w:pStyle w:val="TableContents"/>
              <w:bidi w:val="0"/>
              <w:spacing w:lineRule="auto" w:line="328" w:before="0" w:after="160"/>
              <w:ind w:left="0" w:right="0" w:hanging="0"/>
              <w:jc w:val="right"/>
              <w:rPr>
                <w:color w:val="231F20"/>
                <w:spacing w:val="-5"/>
              </w:rPr>
            </w:pPr>
            <w:r>
              <w:rPr>
                <w:color w:val="231F20"/>
                <w:spacing w:val="-5"/>
              </w:rPr>
              <w:t>​</w:t>
            </w:r>
          </w:p>
        </w:tc>
        <w:tc>
          <w:tcPr>
            <w:tcW w:w="346" w:type="dxa"/>
            <w:tcBorders/>
            <w:vAlign w:val="center"/>
          </w:tcPr>
          <w:p>
            <w:pPr>
              <w:pStyle w:val="TableContents"/>
              <w:bidi w:val="0"/>
              <w:spacing w:lineRule="auto" w:line="328" w:before="0" w:after="160"/>
              <w:ind w:left="0" w:right="0" w:hanging="0"/>
              <w:jc w:val="right"/>
              <w:rPr/>
            </w:pPr>
            <w:r>
              <w:rPr/>
              <w:t>​</w:t>
            </w:r>
          </w:p>
        </w:tc>
        <w:tc>
          <w:tcPr>
            <w:tcW w:w="596" w:type="dxa"/>
            <w:tcBorders/>
            <w:vAlign w:val="center"/>
          </w:tcPr>
          <w:p>
            <w:pPr>
              <w:pStyle w:val="TableContents"/>
              <w:bidi w:val="0"/>
              <w:spacing w:lineRule="auto" w:line="328" w:before="0" w:after="160"/>
              <w:ind w:left="0" w:right="0" w:hanging="0"/>
              <w:jc w:val="right"/>
              <w:rPr>
                <w:color w:val="231F20"/>
                <w:spacing w:val="-5"/>
              </w:rPr>
            </w:pPr>
            <w:r>
              <w:rPr>
                <w:color w:val="231F20"/>
                <w:spacing w:val="-5"/>
              </w:rPr>
              <w:t>​</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Gynesonics, Inc.</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285" w:before="0" w:after="60"/>
              <w:ind w:left="0" w:right="0" w:hanging="0"/>
              <w:jc w:val="left"/>
              <w:rPr>
                <w:rFonts w:ascii="Times New Roman;Times;serif" w:hAnsi="Times New Roman;Times;serif"/>
                <w:sz w:val="12"/>
              </w:rPr>
            </w:pPr>
            <w:r>
              <w:rPr>
                <w:rFonts w:ascii="Times New Roman;Times;serif" w:hAnsi="Times New Roman;Times;serif"/>
                <w:sz w:val="12"/>
              </w:rPr>
              <w:t>600 Chesapeake Drive Redwood City, CA 94063 United States</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Senior Secured</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2"/>
              </w:rPr>
            </w:pPr>
            <w:r>
              <w:rPr>
                <w:rFonts w:ascii="Times New Roman;Times;serif" w:hAnsi="Times New Roman;Times;serif"/>
                <w:sz w:val="12"/>
              </w:rPr>
              <w:t>SOFR+8.75%, 8.00% ceiling, 5.00% ETP</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11/30/2026</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25,595</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2"/>
              </w:rPr>
            </w:pPr>
            <w:r>
              <w:rPr>
                <w:rFonts w:ascii="Times New Roman;Times;serif" w:hAnsi="Times New Roman;Times;serif"/>
                <w:sz w:val="12"/>
              </w:rPr>
              <w:t>N/A</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26,147</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5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26,041</w:t>
            </w:r>
          </w:p>
        </w:tc>
      </w:tr>
      <w:tr>
        <w:trPr/>
        <w:tc>
          <w:tcPr>
            <w:tcW w:w="890" w:type="dxa"/>
            <w:tcBorders/>
            <w:vAlign w:val="center"/>
          </w:tcPr>
          <w:p>
            <w:pPr>
              <w:pStyle w:val="TableContents"/>
              <w:pBdr/>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Healthcare Technology – 5.13%*</w:t>
            </w:r>
          </w:p>
        </w:tc>
        <w:tc>
          <w:tcPr>
            <w:tcW w:w="346" w:type="dxa"/>
            <w:tcBorders/>
            <w:vAlign w:val="center"/>
          </w:tcPr>
          <w:p>
            <w:pPr>
              <w:pStyle w:val="TableContents"/>
              <w:bidi w:val="0"/>
              <w:spacing w:lineRule="auto" w:line="328" w:before="0" w:after="160"/>
              <w:ind w:left="0" w:right="0" w:hanging="0"/>
              <w:jc w:val="left"/>
              <w:rPr/>
            </w:pPr>
            <w:r>
              <w:rPr/>
              <w:t>​</w:t>
            </w:r>
          </w:p>
        </w:tc>
        <w:tc>
          <w:tcPr>
            <w:tcW w:w="799"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69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2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89"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3"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lineRule="auto" w:line="328" w:before="0" w:after="160"/>
              <w:ind w:left="0" w:right="0" w:hanging="0"/>
              <w:jc w:val="right"/>
              <w:rPr/>
            </w:pPr>
            <w:r>
              <w:rPr/>
              <w:t>​</w:t>
            </w:r>
          </w:p>
        </w:tc>
        <w:tc>
          <w:tcPr>
            <w:tcW w:w="346" w:type="dxa"/>
            <w:tcBorders/>
            <w:vAlign w:val="center"/>
          </w:tcPr>
          <w:p>
            <w:pPr>
              <w:pStyle w:val="TableContents"/>
              <w:bidi w:val="0"/>
              <w:spacing w:lineRule="auto" w:line="328" w:before="0" w:after="160"/>
              <w:ind w:left="0" w:right="0" w:hanging="0"/>
              <w:jc w:val="left"/>
              <w:rPr/>
            </w:pPr>
            <w:r>
              <w:rPr/>
              <w:t>​</w:t>
            </w:r>
          </w:p>
        </w:tc>
        <w:tc>
          <w:tcPr>
            <w:tcW w:w="710" w:type="dxa"/>
            <w:tcBorders/>
            <w:vAlign w:val="center"/>
          </w:tcPr>
          <w:p>
            <w:pPr>
              <w:pStyle w:val="TableContents"/>
              <w:bidi w:val="0"/>
              <w:spacing w:lineRule="auto" w:line="328" w:before="0" w:after="160"/>
              <w:ind w:left="0" w:right="0" w:hanging="0"/>
              <w:jc w:val="center"/>
              <w:rPr/>
            </w:pPr>
            <w:r>
              <w:rPr/>
              <w:t>​</w:t>
            </w:r>
          </w:p>
        </w:tc>
        <w:tc>
          <w:tcPr>
            <w:tcW w:w="346" w:type="dxa"/>
            <w:tcBorders/>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26,147</w:t>
            </w:r>
          </w:p>
        </w:tc>
        <w:tc>
          <w:tcPr>
            <w:tcW w:w="346" w:type="dxa"/>
            <w:tcBorders>
              <w:bottom w:val="single" w:sz="2" w:space="0" w:color="000000"/>
            </w:tcBorders>
            <w:tcMar>
              <w:bottom w:w="28" w:type="dxa"/>
            </w:tcM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26,041</w:t>
            </w:r>
          </w:p>
        </w:tc>
      </w:tr>
      <w:tr>
        <w:trPr/>
        <w:tc>
          <w:tcPr>
            <w:tcW w:w="89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Debt Investments – 5.13%*</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99"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69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25" w:type="dxa"/>
            <w:tcBorders/>
            <w:shd w:fill="CCEEFF" w:val="clear"/>
            <w:vAlign w:val="center"/>
          </w:tcPr>
          <w:p>
            <w:pPr>
              <w:pStyle w:val="TableContents"/>
              <w:bidi w:val="0"/>
              <w:spacing w:lineRule="auto" w:line="328" w:before="0" w:after="160"/>
              <w:ind w:left="0" w:right="0" w:hanging="0"/>
              <w:jc w:val="lef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89"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3"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570" w:type="dxa"/>
            <w:tcBorders/>
            <w:shd w:fill="CCEEFF" w:val="clear"/>
            <w:vAlign w:val="center"/>
          </w:tcPr>
          <w:p>
            <w:pPr>
              <w:pStyle w:val="TableContents"/>
              <w:bidi w:val="0"/>
              <w:spacing w:lineRule="auto" w:line="328" w:before="0" w:after="160"/>
              <w:ind w:left="0" w:right="0" w:hanging="0"/>
              <w:jc w:val="right"/>
              <w:rPr/>
            </w:pPr>
            <w:r>
              <w:rPr/>
              <w:t>​</w:t>
            </w:r>
          </w:p>
        </w:tc>
        <w:tc>
          <w:tcPr>
            <w:tcW w:w="346" w:type="dxa"/>
            <w:tcBorders/>
            <w:shd w:fill="CCEEFF" w:val="clear"/>
            <w:vAlign w:val="center"/>
          </w:tcPr>
          <w:p>
            <w:pPr>
              <w:pStyle w:val="TableContents"/>
              <w:bidi w:val="0"/>
              <w:spacing w:lineRule="auto" w:line="328" w:before="0" w:after="160"/>
              <w:ind w:left="0" w:right="0" w:hanging="0"/>
              <w:jc w:val="left"/>
              <w:rPr/>
            </w:pPr>
            <w:r>
              <w:rPr/>
              <w:t>​</w:t>
            </w:r>
          </w:p>
        </w:tc>
        <w:tc>
          <w:tcPr>
            <w:tcW w:w="710" w:type="dxa"/>
            <w:tcBorders/>
            <w:shd w:fill="CCEEFF" w:val="clear"/>
            <w:vAlign w:val="center"/>
          </w:tcPr>
          <w:p>
            <w:pPr>
              <w:pStyle w:val="TableContents"/>
              <w:bidi w:val="0"/>
              <w:spacing w:lineRule="auto" w:line="328" w:before="0" w:after="160"/>
              <w:ind w:left="0" w:right="0" w:hanging="0"/>
              <w:jc w:val="center"/>
              <w:rPr/>
            </w:pPr>
            <w:r>
              <w:rPr/>
              <w:t>​</w:t>
            </w:r>
          </w:p>
        </w:tc>
        <w:tc>
          <w:tcPr>
            <w:tcW w:w="346" w:type="dxa"/>
            <w:tcBorders/>
            <w:shd w:fill="CCEEFF" w:val="clear"/>
            <w:vAlign w:val="center"/>
          </w:tcPr>
          <w:p>
            <w:pPr>
              <w:pStyle w:val="TableContents"/>
              <w:bidi w:val="0"/>
              <w:spacing w:lineRule="auto" w:line="328" w:before="0" w:after="160"/>
              <w:ind w:left="0" w:right="0" w:hanging="0"/>
              <w:jc w:val="right"/>
              <w:rPr/>
            </w:pPr>
            <w:r>
              <w:rPr/>
              <w:t>​</w:t>
            </w:r>
          </w:p>
        </w:tc>
        <w:tc>
          <w:tcPr>
            <w:tcW w:w="5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26,147</w:t>
            </w:r>
          </w:p>
        </w:tc>
        <w:tc>
          <w:tcPr>
            <w:tcW w:w="346" w:type="dxa"/>
            <w:tcBorders>
              <w:bottom w:val="single" w:sz="2" w:space="0" w:color="000000"/>
            </w:tcBorders>
            <w:shd w:fill="CCEEFF" w:val="clear"/>
            <w:tcMar>
              <w:bottom w:w="28" w:type="dxa"/>
            </w:tcMar>
            <w:vAlign w:val="center"/>
          </w:tcPr>
          <w:p>
            <w:pPr>
              <w:pStyle w:val="TableContents"/>
              <w:bidi w:val="0"/>
              <w:spacing w:lineRule="auto" w:line="328" w:before="0" w:after="160"/>
              <w:ind w:left="0" w:right="0" w:hanging="0"/>
              <w:jc w:val="right"/>
              <w:rPr/>
            </w:pPr>
            <w:r>
              <w:rPr/>
              <w:t>​</w:t>
            </w:r>
          </w:p>
        </w:tc>
        <w:tc>
          <w:tcPr>
            <w:tcW w:w="59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lineRule="auto" w:line="285" w:before="0" w:after="0"/>
              <w:ind w:left="0" w:right="58"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26,041</w:t>
            </w:r>
          </w:p>
        </w:tc>
      </w:tr>
    </w:tbl>
    <w:tbl>
      <w:tblPr>
        <w:tblW w:w="3017" w:type="dxa"/>
        <w:jc w:val="left"/>
        <w:tblInd w:w="200" w:type="dxa"/>
        <w:tblLayout w:type="fixed"/>
        <w:tblCellMar>
          <w:top w:w="0" w:type="dxa"/>
          <w:left w:w="0" w:type="dxa"/>
          <w:bottom w:w="0" w:type="dxa"/>
          <w:right w:w="0" w:type="dxa"/>
        </w:tblCellMar>
      </w:tblPr>
      <w:tblGrid>
        <w:gridCol w:w="226"/>
        <w:gridCol w:w="2791"/>
      </w:tblGrid>
      <w:tr>
        <w:trPr/>
        <w:tc>
          <w:tcPr>
            <w:tcW w:w="22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w:t>
            </w:r>
          </w:p>
        </w:tc>
        <w:tc>
          <w:tcPr>
            <w:tcW w:w="279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Value as percentage of net assets</w:t>
            </w:r>
          </w:p>
        </w:tc>
      </w:tr>
    </w:tbl>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28" w:before="0" w:after="160"/>
        <w:ind w:left="200" w:right="200" w:hanging="0"/>
        <w:jc w:val="left"/>
        <w:rPr/>
      </w:pPr>
      <w:r>
        <w:rPr/>
        <w:t>​</w:t>
      </w:r>
    </w:p>
    <w:tbl>
      <w:tblPr>
        <w:tblW w:w="10258" w:type="dxa"/>
        <w:jc w:val="left"/>
        <w:tblInd w:w="200" w:type="dxa"/>
        <w:tblLayout w:type="fixed"/>
        <w:tblCellMar>
          <w:top w:w="0" w:type="dxa"/>
          <w:left w:w="0" w:type="dxa"/>
          <w:bottom w:w="0" w:type="dxa"/>
          <w:right w:w="0" w:type="dxa"/>
        </w:tblCellMar>
      </w:tblPr>
      <w:tblGrid>
        <w:gridCol w:w="894"/>
        <w:gridCol w:w="346"/>
        <w:gridCol w:w="688"/>
        <w:gridCol w:w="346"/>
        <w:gridCol w:w="673"/>
        <w:gridCol w:w="406"/>
        <w:gridCol w:w="686"/>
        <w:gridCol w:w="346"/>
        <w:gridCol w:w="572"/>
        <w:gridCol w:w="346"/>
        <w:gridCol w:w="555"/>
        <w:gridCol w:w="346"/>
        <w:gridCol w:w="570"/>
        <w:gridCol w:w="346"/>
        <w:gridCol w:w="931"/>
        <w:gridCol w:w="346"/>
        <w:gridCol w:w="166"/>
        <w:gridCol w:w="570"/>
        <w:gridCol w:w="286"/>
        <w:gridCol w:w="166"/>
        <w:gridCol w:w="673"/>
      </w:tblGrid>
      <w:tr>
        <w:trPr/>
        <w:tc>
          <w:tcPr>
            <w:tcW w:w="8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ind w:left="0" w:right="0" w:hanging="0"/>
              <w:jc w:val="left"/>
              <w:rPr>
                <w:sz w:val="4"/>
                <w:szCs w:val="4"/>
              </w:rPr>
            </w:pPr>
            <w:r>
              <w:rPr>
                <w:sz w:val="4"/>
                <w:szCs w:val="4"/>
              </w:rPr>
            </w:r>
          </w:p>
        </w:tc>
      </w:tr>
      <w:tr>
        <w:trPr/>
        <w:tc>
          <w:tcPr>
            <w:tcW w:w="89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lineRule="auto" w:line="328" w:before="0" w:after="16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7810" cy="175260"/>
                      <wp:effectExtent l="0" t="0" r="0" b="0"/>
                      <wp:wrapNone/>
                      <wp:docPr id="91" name="Frame8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lineRule="auto" w:line="328" w:before="0" w:after="16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lineRule="auto" w:line="328" w:before="0" w:after="160"/>
              <w:ind w:left="0" w:right="0" w:hanging="0"/>
              <w:jc w:val="left"/>
              <w:rPr/>
            </w:pPr>
            <w:r>
              <w:rPr/>
              <w:t>​</w: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61950" cy="175260"/>
                      <wp:effectExtent l="0" t="0" r="0" b="0"/>
                      <wp:wrapNone/>
                      <wp:docPr id="97" name="Frame95"/>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81610" cy="175260"/>
                      <wp:effectExtent l="0" t="0" r="0" b="0"/>
                      <wp:wrapNone/>
                      <wp:docPr id="98" name="Frame9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328"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28" w:before="0" w:after="16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lineRule="auto" w:line="328" w:before="0" w:after="160"/>
              <w:ind w:left="0" w:right="0" w:hanging="0"/>
              <w:jc w:val="left"/>
              <w:rPr/>
            </w:pPr>
            <w:r>
              <w:rPr/>
              <w:t>​</w:t>
            </w:r>
          </w:p>
        </w:tc>
        <w:tc>
          <w:tcPr>
            <w:tcW w:w="673" w:type="dxa"/>
            <w:tcBorders/>
            <w:vAlign w:val="center"/>
          </w:tcPr>
          <w:p>
            <w:pPr>
              <w:pStyle w:val="TableContents"/>
              <w:bidi w:val="0"/>
              <w:spacing w:lineRule="auto" w:line="328" w:before="0" w:after="160"/>
              <w:ind w:left="0" w:right="0" w:hanging="0"/>
              <w:jc w:val="left"/>
              <w:rPr/>
            </w:pPr>
            <w:r>
              <w:rPr/>
              <w:t>​</w:t>
            </w:r>
          </w:p>
        </w:tc>
      </w:tr>
      <w:tr>
        <w:trPr/>
        <w:tc>
          <w:tcPr>
            <w:tcW w:w="894"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34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688"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346" w:type="dxa"/>
            <w:tcBorders/>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673" w:type="dxa"/>
            <w:tcBorders/>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40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68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34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572"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346" w:type="dxa"/>
            <w:tcBorders/>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555" w:type="dxa"/>
            <w:tcBorders/>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346" w:type="dxa"/>
            <w:tcBorders/>
            <w:vAlign w:val="center"/>
          </w:tcPr>
          <w:p>
            <w:pPr>
              <w:pStyle w:val="TableContents"/>
              <w:bidi w:val="0"/>
              <w:spacing w:lineRule="auto" w:line="285" w:before="0" w:after="0"/>
              <w:ind w:left="0" w:right="0" w:hanging="0"/>
              <w:jc w:val="center"/>
              <w:rPr>
                <w:color w:val="231F20"/>
                <w:spacing w:val="-4"/>
              </w:rPr>
            </w:pPr>
            <w:r>
              <w:rPr>
                <w:color w:val="231F20"/>
                <w:spacing w:val="-4"/>
              </w:rPr>
              <w:t>​</w:t>
            </w:r>
          </w:p>
        </w:tc>
        <w:tc>
          <w:tcPr>
            <w:tcW w:w="570" w:type="dxa"/>
            <w:tcBorders/>
            <w:vAlign w:val="center"/>
          </w:tcPr>
          <w:p>
            <w:pPr>
              <w:pStyle w:val="TableContents"/>
              <w:bidi w:val="0"/>
              <w:spacing w:lineRule="auto" w:line="285" w:before="0" w:after="0"/>
              <w:ind w:left="0" w:right="0" w:hanging="0"/>
              <w:jc w:val="center"/>
              <w:rPr>
                <w:color w:val="231F20"/>
                <w:spacing w:val="-4"/>
              </w:rPr>
            </w:pPr>
            <w:r>
              <w:rPr>
                <w:color w:val="231F20"/>
                <w:spacing w:val="-4"/>
              </w:rPr>
              <w:t>​</w:t>
            </w:r>
          </w:p>
        </w:tc>
        <w:tc>
          <w:tcPr>
            <w:tcW w:w="346" w:type="dxa"/>
            <w:tcBorders/>
            <w:vAlign w:val="center"/>
          </w:tcPr>
          <w:p>
            <w:pPr>
              <w:pStyle w:val="TableContents"/>
              <w:bidi w:val="0"/>
              <w:spacing w:lineRule="auto" w:line="285" w:before="0" w:after="0"/>
              <w:ind w:left="0" w:right="0" w:hanging="0"/>
              <w:jc w:val="center"/>
              <w:rPr>
                <w:color w:val="231F20"/>
              </w:rPr>
            </w:pPr>
            <w:r>
              <w:rPr>
                <w:color w:val="231F20"/>
              </w:rPr>
              <w:t>​</w:t>
            </w:r>
          </w:p>
        </w:tc>
        <w:tc>
          <w:tcPr>
            <w:tcW w:w="931" w:type="dxa"/>
            <w:tcBorders/>
            <w:vAlign w:val="center"/>
          </w:tcPr>
          <w:p>
            <w:pPr>
              <w:pStyle w:val="TableContents"/>
              <w:bidi w:val="0"/>
              <w:spacing w:lineRule="auto" w:line="285" w:before="0" w:after="0"/>
              <w:ind w:left="0" w:right="0" w:hanging="0"/>
              <w:jc w:val="center"/>
              <w:rPr>
                <w:rFonts w:ascii="Times NR MT Pro" w:hAnsi="Times NR MT Pro"/>
                <w:sz w:val="12"/>
              </w:rPr>
            </w:pPr>
            <w:r>
              <w:rPr>
                <w:rFonts w:ascii="Times New Roman;Times;serif" w:hAnsi="Times New Roman;Times;serif"/>
                <w:b/>
                <w:color w:val="231F20"/>
                <w:sz w:val="12"/>
              </w:rPr>
              <w:t>Percentage</w:t>
            </w:r>
            <w:r>
              <w:rPr>
                <w:rFonts w:ascii="Times NR MT Pro" w:hAnsi="Times NR MT Pro"/>
                <w:color w:val="231F20"/>
                <w:spacing w:val="-9"/>
                <w:sz w:val="12"/>
              </w:rPr>
              <w:t> </w:t>
            </w:r>
            <w:r>
              <w:rPr>
                <w:rFonts w:ascii="Times New Roman;Times;serif" w:hAnsi="Times New Roman;Times;serif"/>
                <w:b/>
                <w:color w:val="231F20"/>
                <w:sz w:val="12"/>
              </w:rPr>
              <w:t>of</w:t>
            </w:r>
          </w:p>
        </w:tc>
        <w:tc>
          <w:tcPr>
            <w:tcW w:w="346" w:type="dxa"/>
            <w:tcBorders/>
            <w:vAlign w:val="center"/>
          </w:tcPr>
          <w:p>
            <w:pPr>
              <w:pStyle w:val="TableContents"/>
              <w:bidi w:val="0"/>
              <w:spacing w:lineRule="auto" w:line="328" w:before="0" w:after="160"/>
              <w:ind w:left="0" w:right="0" w:hanging="0"/>
              <w:jc w:val="center"/>
              <w:rPr>
                <w:color w:val="231F20"/>
                <w:spacing w:val="-4"/>
              </w:rPr>
            </w:pPr>
            <w:r>
              <w:rPr>
                <w:color w:val="231F20"/>
                <w:spacing w:val="-4"/>
              </w:rPr>
              <w:t>​</w:t>
            </w:r>
          </w:p>
        </w:tc>
        <w:tc>
          <w:tcPr>
            <w:tcW w:w="736" w:type="dxa"/>
            <w:gridSpan w:val="2"/>
            <w:tcBorders/>
            <w:vAlign w:val="center"/>
          </w:tcPr>
          <w:p>
            <w:pPr>
              <w:pStyle w:val="TableContents"/>
              <w:pBdr/>
              <w:bidi w:val="0"/>
              <w:spacing w:lineRule="auto" w:line="328" w:before="0" w:after="160"/>
              <w:ind w:left="0" w:right="0" w:hanging="0"/>
              <w:jc w:val="center"/>
              <w:rPr>
                <w:color w:val="231F20"/>
                <w:spacing w:val="-4"/>
              </w:rPr>
            </w:pPr>
            <w:r>
              <w:rPr>
                <w:color w:val="231F20"/>
                <w:spacing w:val="-4"/>
              </w:rPr>
              <w:t>​</w:t>
            </w:r>
          </w:p>
        </w:tc>
        <w:tc>
          <w:tcPr>
            <w:tcW w:w="286" w:type="dxa"/>
            <w:tcBorders/>
            <w:vAlign w:val="center"/>
          </w:tcPr>
          <w:p>
            <w:pPr>
              <w:pStyle w:val="TableContents"/>
              <w:bidi w:val="0"/>
              <w:spacing w:lineRule="auto" w:line="285" w:before="0" w:after="0"/>
              <w:ind w:left="0" w:right="0" w:hanging="0"/>
              <w:jc w:val="center"/>
              <w:rPr>
                <w:color w:val="231F20"/>
                <w:spacing w:val="-4"/>
              </w:rPr>
            </w:pPr>
            <w:r>
              <w:rPr>
                <w:color w:val="231F20"/>
                <w:spacing w:val="-4"/>
              </w:rPr>
              <w:t>​</w:t>
            </w:r>
          </w:p>
        </w:tc>
        <w:tc>
          <w:tcPr>
            <w:tcW w:w="839" w:type="dxa"/>
            <w:gridSpan w:val="2"/>
            <w:tcBorders/>
            <w:vAlign w:val="center"/>
          </w:tcPr>
          <w:p>
            <w:pPr>
              <w:pStyle w:val="TableContents"/>
              <w:bidi w:val="0"/>
              <w:spacing w:lineRule="auto" w:line="285" w:before="0" w:after="0"/>
              <w:ind w:left="0" w:right="0" w:hanging="0"/>
              <w:jc w:val="center"/>
              <w:rPr>
                <w:color w:val="231F20"/>
                <w:spacing w:val="-4"/>
              </w:rPr>
            </w:pPr>
            <w:r>
              <w:rPr>
                <w:color w:val="231F20"/>
                <w:spacing w:val="-4"/>
              </w:rPr>
              <w:t>​</w:t>
            </w:r>
          </w:p>
        </w:tc>
      </w:tr>
      <w:tr>
        <w:trPr/>
        <w:tc>
          <w:tcPr>
            <w:tcW w:w="894"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34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688"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346" w:type="dxa"/>
            <w:tcBorders/>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673" w:type="dxa"/>
            <w:tcBorders/>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40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68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34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572"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346" w:type="dxa"/>
            <w:tcBorders/>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555" w:type="dxa"/>
            <w:tcBorders/>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346" w:type="dxa"/>
            <w:tcBorders/>
            <w:vAlign w:val="center"/>
          </w:tcPr>
          <w:p>
            <w:pPr>
              <w:pStyle w:val="TableContents"/>
              <w:bidi w:val="0"/>
              <w:spacing w:lineRule="auto" w:line="285" w:before="0" w:after="0"/>
              <w:ind w:left="0" w:right="0" w:hanging="0"/>
              <w:jc w:val="center"/>
              <w:rPr>
                <w:color w:val="231F20"/>
                <w:spacing w:val="-4"/>
              </w:rPr>
            </w:pPr>
            <w:r>
              <w:rPr>
                <w:color w:val="231F20"/>
                <w:spacing w:val="-4"/>
              </w:rPr>
              <w:t>​</w:t>
            </w:r>
          </w:p>
        </w:tc>
        <w:tc>
          <w:tcPr>
            <w:tcW w:w="570" w:type="dxa"/>
            <w:tcBorders/>
            <w:vAlign w:val="center"/>
          </w:tcPr>
          <w:p>
            <w:pPr>
              <w:pStyle w:val="TableContents"/>
              <w:bidi w:val="0"/>
              <w:spacing w:lineRule="auto" w:line="285" w:before="0" w:after="0"/>
              <w:ind w:left="0" w:right="0" w:hanging="0"/>
              <w:jc w:val="center"/>
              <w:rPr>
                <w:color w:val="231F20"/>
                <w:spacing w:val="-4"/>
              </w:rPr>
            </w:pPr>
            <w:r>
              <w:rPr>
                <w:color w:val="231F20"/>
                <w:spacing w:val="-4"/>
              </w:rPr>
              <w:t>​</w:t>
            </w:r>
          </w:p>
        </w:tc>
        <w:tc>
          <w:tcPr>
            <w:tcW w:w="346" w:type="dxa"/>
            <w:tcBorders/>
            <w:vAlign w:val="center"/>
          </w:tcPr>
          <w:p>
            <w:pPr>
              <w:pStyle w:val="TableContents"/>
              <w:bidi w:val="0"/>
              <w:spacing w:lineRule="auto" w:line="285" w:before="0" w:after="0"/>
              <w:ind w:left="0" w:right="0" w:hanging="0"/>
              <w:jc w:val="center"/>
              <w:rPr>
                <w:color w:val="231F20"/>
              </w:rPr>
            </w:pPr>
            <w:r>
              <w:rPr>
                <w:color w:val="231F20"/>
              </w:rPr>
              <w:t>​</w:t>
            </w:r>
          </w:p>
        </w:tc>
        <w:tc>
          <w:tcPr>
            <w:tcW w:w="931" w:type="dxa"/>
            <w:tcBorders/>
            <w:vAlign w:val="center"/>
          </w:tcPr>
          <w:p>
            <w:pPr>
              <w:pStyle w:val="TableContents"/>
              <w:bidi w:val="0"/>
              <w:spacing w:lineRule="auto" w:line="285" w:before="0" w:after="0"/>
              <w:ind w:left="0" w:right="0" w:hanging="0"/>
              <w:jc w:val="center"/>
              <w:rPr>
                <w:rFonts w:ascii="Times NR MT Pro" w:hAnsi="Times NR MT Pro"/>
                <w:sz w:val="12"/>
              </w:rPr>
            </w:pPr>
            <w:r>
              <w:rPr>
                <w:rFonts w:ascii="Times New Roman;Times;serif" w:hAnsi="Times New Roman;Times;serif"/>
                <w:b/>
                <w:color w:val="231F20"/>
                <w:sz w:val="12"/>
              </w:rPr>
              <w:t>Class</w:t>
            </w:r>
            <w:r>
              <w:rPr>
                <w:rFonts w:ascii="Times NR MT Pro" w:hAnsi="Times NR MT Pro"/>
                <w:color w:val="231F20"/>
                <w:spacing w:val="-9"/>
                <w:sz w:val="12"/>
              </w:rPr>
              <w:t> </w:t>
            </w:r>
            <w:r>
              <w:rPr>
                <w:rFonts w:ascii="Times New Roman;Times;serif" w:hAnsi="Times New Roman;Times;serif"/>
                <w:b/>
                <w:color w:val="231F20"/>
                <w:sz w:val="12"/>
              </w:rPr>
              <w:t>Held</w:t>
            </w:r>
            <w:r>
              <w:rPr>
                <w:rFonts w:ascii="Times NR MT Pro" w:hAnsi="Times NR MT Pro"/>
                <w:color w:val="231F20"/>
                <w:spacing w:val="-8"/>
                <w:sz w:val="12"/>
              </w:rPr>
              <w:t> </w:t>
            </w:r>
            <w:r>
              <w:rPr>
                <w:rFonts w:ascii="Times New Roman;Times;serif" w:hAnsi="Times New Roman;Times;serif"/>
                <w:b/>
                <w:color w:val="231F20"/>
                <w:sz w:val="12"/>
              </w:rPr>
              <w:t>on</w:t>
            </w:r>
            <w:r>
              <w:rPr>
                <w:rFonts w:ascii="Times NR MT Pro" w:hAnsi="Times NR MT Pro"/>
                <w:color w:val="231F20"/>
                <w:spacing w:val="-8"/>
                <w:sz w:val="12"/>
              </w:rPr>
              <w:t> </w:t>
            </w:r>
            <w:r>
              <w:rPr>
                <w:rFonts w:ascii="Times New Roman;Times;serif" w:hAnsi="Times New Roman;Times;serif"/>
                <w:b/>
                <w:color w:val="231F20"/>
                <w:sz w:val="12"/>
              </w:rPr>
              <w:t>a</w:t>
            </w:r>
          </w:p>
        </w:tc>
        <w:tc>
          <w:tcPr>
            <w:tcW w:w="346" w:type="dxa"/>
            <w:tcBorders/>
            <w:vAlign w:val="center"/>
          </w:tcPr>
          <w:p>
            <w:pPr>
              <w:pStyle w:val="TableContents"/>
              <w:bidi w:val="0"/>
              <w:spacing w:lineRule="auto" w:line="328" w:before="0" w:after="160"/>
              <w:ind w:left="0" w:right="0" w:hanging="0"/>
              <w:jc w:val="center"/>
              <w:rPr>
                <w:color w:val="231F20"/>
                <w:spacing w:val="-4"/>
              </w:rPr>
            </w:pPr>
            <w:r>
              <w:rPr>
                <w:color w:val="231F20"/>
                <w:spacing w:val="-4"/>
              </w:rPr>
              <w:t>​</w:t>
            </w:r>
          </w:p>
        </w:tc>
        <w:tc>
          <w:tcPr>
            <w:tcW w:w="736" w:type="dxa"/>
            <w:gridSpan w:val="2"/>
            <w:tcBorders/>
            <w:vAlign w:val="center"/>
          </w:tcPr>
          <w:p>
            <w:pPr>
              <w:pStyle w:val="TableContents"/>
              <w:pBdr/>
              <w:bidi w:val="0"/>
              <w:spacing w:lineRule="auto" w:line="328" w:before="0" w:after="160"/>
              <w:ind w:left="0" w:right="0" w:hanging="0"/>
              <w:jc w:val="center"/>
              <w:rPr>
                <w:color w:val="231F20"/>
                <w:spacing w:val="-4"/>
              </w:rPr>
            </w:pPr>
            <w:r>
              <w:rPr>
                <w:color w:val="231F20"/>
                <w:spacing w:val="-4"/>
              </w:rPr>
              <w:t>​</w:t>
            </w:r>
          </w:p>
        </w:tc>
        <w:tc>
          <w:tcPr>
            <w:tcW w:w="286" w:type="dxa"/>
            <w:tcBorders/>
            <w:vAlign w:val="center"/>
          </w:tcPr>
          <w:p>
            <w:pPr>
              <w:pStyle w:val="TableContents"/>
              <w:bidi w:val="0"/>
              <w:spacing w:lineRule="auto" w:line="285" w:before="0" w:after="0"/>
              <w:ind w:left="0" w:right="0" w:hanging="0"/>
              <w:jc w:val="center"/>
              <w:rPr>
                <w:color w:val="231F20"/>
                <w:spacing w:val="-4"/>
              </w:rPr>
            </w:pPr>
            <w:r>
              <w:rPr>
                <w:color w:val="231F20"/>
                <w:spacing w:val="-4"/>
              </w:rPr>
              <w:t>​</w:t>
            </w:r>
          </w:p>
        </w:tc>
        <w:tc>
          <w:tcPr>
            <w:tcW w:w="83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color w:val="231F20"/>
                <w:spacing w:val="-4"/>
                <w:sz w:val="12"/>
              </w:rPr>
            </w:pPr>
            <w:r>
              <w:rPr>
                <w:rFonts w:ascii="Times New Roman;Times;serif" w:hAnsi="Times New Roman;Times;serif"/>
                <w:b/>
                <w:color w:val="231F20"/>
                <w:spacing w:val="-4"/>
                <w:sz w:val="12"/>
              </w:rPr>
              <w:t>Fair</w:t>
            </w:r>
          </w:p>
        </w:tc>
      </w:tr>
      <w:tr>
        <w:trPr/>
        <w:tc>
          <w:tcPr>
            <w:tcW w:w="894"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34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688"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346" w:type="dxa"/>
            <w:tcBorders/>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673" w:type="dxa"/>
            <w:tcBorders/>
            <w:vAlign w:val="center"/>
          </w:tcPr>
          <w:p>
            <w:pPr>
              <w:pStyle w:val="TableContents"/>
              <w:bidi w:val="0"/>
              <w:spacing w:lineRule="auto" w:line="285" w:before="0" w:after="0"/>
              <w:ind w:left="0" w:right="0" w:hanging="0"/>
              <w:jc w:val="center"/>
              <w:rPr>
                <w:rFonts w:ascii="Times New Roman;Times;serif" w:hAnsi="Times New Roman;Times;serif"/>
                <w:b/>
                <w:color w:val="231F20"/>
                <w:spacing w:val="-2"/>
                <w:sz w:val="12"/>
              </w:rPr>
            </w:pPr>
            <w:r>
              <w:rPr>
                <w:rFonts w:ascii="Times New Roman;Times;serif" w:hAnsi="Times New Roman;Times;serif"/>
                <w:b/>
                <w:color w:val="231F20"/>
                <w:spacing w:val="-2"/>
                <w:sz w:val="12"/>
              </w:rPr>
              <w:t>Investment</w:t>
            </w:r>
          </w:p>
        </w:tc>
        <w:tc>
          <w:tcPr>
            <w:tcW w:w="40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686" w:type="dxa"/>
            <w:tcBorders/>
            <w:vAlign w:val="center"/>
          </w:tcPr>
          <w:p>
            <w:pPr>
              <w:pStyle w:val="TableContents"/>
              <w:bidi w:val="0"/>
              <w:spacing w:lineRule="auto" w:line="285" w:before="0" w:after="0"/>
              <w:ind w:left="0" w:right="0" w:hanging="0"/>
              <w:jc w:val="center"/>
              <w:rPr>
                <w:rFonts w:ascii="Times New Roman;Times;serif" w:hAnsi="Times New Roman;Times;serif"/>
                <w:b/>
                <w:color w:val="231F20"/>
                <w:spacing w:val="-2"/>
                <w:sz w:val="12"/>
              </w:rPr>
            </w:pPr>
            <w:r>
              <w:rPr>
                <w:rFonts w:ascii="Times New Roman;Times;serif" w:hAnsi="Times New Roman;Times;serif"/>
                <w:b/>
                <w:color w:val="231F20"/>
                <w:spacing w:val="-2"/>
                <w:sz w:val="12"/>
              </w:rPr>
              <w:t>Investment</w:t>
            </w:r>
          </w:p>
        </w:tc>
        <w:tc>
          <w:tcPr>
            <w:tcW w:w="346" w:type="dxa"/>
            <w:tcBorders/>
            <w:vAlign w:val="center"/>
          </w:tcPr>
          <w:p>
            <w:pPr>
              <w:pStyle w:val="TableContents"/>
              <w:bidi w:val="0"/>
              <w:spacing w:lineRule="auto" w:line="285" w:before="0" w:after="0"/>
              <w:ind w:left="0" w:right="0" w:hanging="0"/>
              <w:jc w:val="center"/>
              <w:rPr>
                <w:color w:val="231F20"/>
                <w:spacing w:val="-2"/>
              </w:rPr>
            </w:pPr>
            <w:r>
              <w:rPr>
                <w:color w:val="231F20"/>
                <w:spacing w:val="-2"/>
              </w:rPr>
              <w:t>​</w:t>
            </w:r>
          </w:p>
        </w:tc>
        <w:tc>
          <w:tcPr>
            <w:tcW w:w="572" w:type="dxa"/>
            <w:tcBorders/>
            <w:vAlign w:val="center"/>
          </w:tcPr>
          <w:p>
            <w:pPr>
              <w:pStyle w:val="TableContents"/>
              <w:bidi w:val="0"/>
              <w:spacing w:lineRule="auto" w:line="285" w:before="0" w:after="0"/>
              <w:ind w:left="0" w:right="0" w:hanging="0"/>
              <w:jc w:val="center"/>
              <w:rPr>
                <w:rFonts w:ascii="Times New Roman;Times;serif" w:hAnsi="Times New Roman;Times;serif"/>
                <w:b/>
                <w:color w:val="231F20"/>
                <w:spacing w:val="-2"/>
                <w:sz w:val="12"/>
              </w:rPr>
            </w:pPr>
            <w:r>
              <w:rPr>
                <w:rFonts w:ascii="Times New Roman;Times;serif" w:hAnsi="Times New Roman;Times;serif"/>
                <w:b/>
                <w:color w:val="231F20"/>
                <w:spacing w:val="-2"/>
                <w:sz w:val="12"/>
              </w:rPr>
              <w:t>Maturity</w:t>
            </w:r>
          </w:p>
        </w:tc>
        <w:tc>
          <w:tcPr>
            <w:tcW w:w="346" w:type="dxa"/>
            <w:tcBorders/>
            <w:vAlign w:val="center"/>
          </w:tcPr>
          <w:p>
            <w:pPr>
              <w:pStyle w:val="TableContents"/>
              <w:bidi w:val="0"/>
              <w:spacing w:lineRule="auto" w:line="328" w:before="0" w:after="160"/>
              <w:ind w:left="0" w:right="0" w:hanging="0"/>
              <w:jc w:val="center"/>
              <w:rPr>
                <w:color w:val="231F20"/>
                <w:spacing w:val="-2"/>
              </w:rPr>
            </w:pPr>
            <w:r>
              <w:rPr>
                <w:color w:val="231F20"/>
                <w:spacing w:val="-2"/>
              </w:rPr>
              <w:t>​</w:t>
            </w:r>
          </w:p>
        </w:tc>
        <w:tc>
          <w:tcPr>
            <w:tcW w:w="555" w:type="dxa"/>
            <w:tcBorders/>
            <w:vAlign w:val="center"/>
          </w:tcPr>
          <w:p>
            <w:pPr>
              <w:pStyle w:val="TableContents"/>
              <w:bidi w:val="0"/>
              <w:spacing w:lineRule="auto" w:line="285" w:before="0" w:after="0"/>
              <w:ind w:left="0" w:right="0" w:hanging="0"/>
              <w:jc w:val="center"/>
              <w:rPr>
                <w:rFonts w:ascii="Times New Roman;Times;serif" w:hAnsi="Times New Roman;Times;serif"/>
                <w:b/>
                <w:color w:val="231F20"/>
                <w:spacing w:val="-2"/>
                <w:sz w:val="12"/>
              </w:rPr>
            </w:pPr>
            <w:r>
              <w:rPr>
                <w:rFonts w:ascii="Times New Roman;Times;serif" w:hAnsi="Times New Roman;Times;serif"/>
                <w:b/>
                <w:color w:val="231F20"/>
                <w:spacing w:val="-2"/>
                <w:sz w:val="12"/>
              </w:rPr>
              <w:t>Principal</w:t>
            </w:r>
          </w:p>
        </w:tc>
        <w:tc>
          <w:tcPr>
            <w:tcW w:w="346" w:type="dxa"/>
            <w:tcBorders/>
            <w:vAlign w:val="center"/>
          </w:tcPr>
          <w:p>
            <w:pPr>
              <w:pStyle w:val="TableContents"/>
              <w:bidi w:val="0"/>
              <w:spacing w:lineRule="auto" w:line="285" w:before="0" w:after="0"/>
              <w:ind w:left="0" w:right="0" w:hanging="0"/>
              <w:jc w:val="center"/>
              <w:rPr>
                <w:color w:val="231F20"/>
                <w:spacing w:val="-4"/>
              </w:rPr>
            </w:pPr>
            <w:r>
              <w:rPr>
                <w:color w:val="231F20"/>
                <w:spacing w:val="-4"/>
              </w:rPr>
              <w:t>​</w:t>
            </w:r>
          </w:p>
        </w:tc>
        <w:tc>
          <w:tcPr>
            <w:tcW w:w="570" w:type="dxa"/>
            <w:tcBorders/>
            <w:vAlign w:val="center"/>
          </w:tcPr>
          <w:p>
            <w:pPr>
              <w:pStyle w:val="TableContents"/>
              <w:bidi w:val="0"/>
              <w:spacing w:lineRule="auto" w:line="285" w:before="0" w:after="0"/>
              <w:ind w:left="0" w:right="0" w:hanging="0"/>
              <w:jc w:val="center"/>
              <w:rPr>
                <w:color w:val="231F20"/>
                <w:spacing w:val="-4"/>
              </w:rPr>
            </w:pPr>
            <w:r>
              <w:rPr>
                <w:color w:val="231F20"/>
                <w:spacing w:val="-4"/>
              </w:rPr>
              <w:t>​</w:t>
            </w:r>
          </w:p>
        </w:tc>
        <w:tc>
          <w:tcPr>
            <w:tcW w:w="346" w:type="dxa"/>
            <w:tcBorders/>
            <w:vAlign w:val="center"/>
          </w:tcPr>
          <w:p>
            <w:pPr>
              <w:pStyle w:val="TableContents"/>
              <w:bidi w:val="0"/>
              <w:spacing w:lineRule="auto" w:line="285" w:before="0" w:after="0"/>
              <w:ind w:left="0" w:right="0" w:hanging="0"/>
              <w:jc w:val="center"/>
              <w:rPr>
                <w:color w:val="231F20"/>
              </w:rPr>
            </w:pPr>
            <w:r>
              <w:rPr>
                <w:color w:val="231F20"/>
              </w:rPr>
              <w:t>​</w:t>
            </w:r>
          </w:p>
        </w:tc>
        <w:tc>
          <w:tcPr>
            <w:tcW w:w="931" w:type="dxa"/>
            <w:tcBorders/>
            <w:vAlign w:val="center"/>
          </w:tcPr>
          <w:p>
            <w:pPr>
              <w:pStyle w:val="TableContents"/>
              <w:bidi w:val="0"/>
              <w:spacing w:lineRule="auto" w:line="285" w:before="0" w:after="0"/>
              <w:ind w:left="0" w:right="0" w:hanging="0"/>
              <w:jc w:val="center"/>
              <w:rPr>
                <w:rFonts w:ascii="Times NR MT Pro" w:hAnsi="Times NR MT Pro"/>
                <w:sz w:val="12"/>
              </w:rPr>
            </w:pPr>
            <w:r>
              <w:rPr>
                <w:rFonts w:ascii="Times New Roman;Times;serif" w:hAnsi="Times New Roman;Times;serif"/>
                <w:b/>
                <w:color w:val="231F20"/>
                <w:sz w:val="12"/>
              </w:rPr>
              <w:t>Fully</w:t>
            </w:r>
            <w:r>
              <w:rPr>
                <w:rFonts w:ascii="Times NR MT Pro" w:hAnsi="Times NR MT Pro"/>
                <w:color w:val="231F20"/>
                <w:spacing w:val="-9"/>
                <w:sz w:val="12"/>
              </w:rPr>
              <w:t> </w:t>
            </w:r>
            <w:r>
              <w:rPr>
                <w:rFonts w:ascii="Times New Roman;Times;serif" w:hAnsi="Times New Roman;Times;serif"/>
                <w:b/>
                <w:color w:val="231F20"/>
                <w:sz w:val="12"/>
              </w:rPr>
              <w:t>Diluted</w:t>
            </w:r>
          </w:p>
        </w:tc>
        <w:tc>
          <w:tcPr>
            <w:tcW w:w="346" w:type="dxa"/>
            <w:tcBorders/>
            <w:vAlign w:val="center"/>
          </w:tcPr>
          <w:p>
            <w:pPr>
              <w:pStyle w:val="TableContents"/>
              <w:bidi w:val="0"/>
              <w:spacing w:lineRule="auto" w:line="328" w:before="0" w:after="160"/>
              <w:ind w:left="0" w:right="0" w:hanging="0"/>
              <w:jc w:val="center"/>
              <w:rPr>
                <w:color w:val="231F20"/>
                <w:spacing w:val="-4"/>
              </w:rPr>
            </w:pPr>
            <w:r>
              <w:rPr>
                <w:color w:val="231F20"/>
                <w:spacing w:val="-4"/>
              </w:rPr>
              <w:t>​</w:t>
            </w:r>
          </w:p>
        </w:tc>
        <w:tc>
          <w:tcPr>
            <w:tcW w:w="736" w:type="dxa"/>
            <w:gridSpan w:val="2"/>
            <w:tcBorders/>
            <w:vAlign w:val="center"/>
          </w:tcPr>
          <w:p>
            <w:pPr>
              <w:pStyle w:val="TableContents"/>
              <w:pBdr/>
              <w:bidi w:val="0"/>
              <w:spacing w:lineRule="auto" w:line="285" w:before="0" w:after="0"/>
              <w:ind w:left="0" w:right="0" w:hanging="0"/>
              <w:jc w:val="center"/>
              <w:rPr>
                <w:rFonts w:ascii="Times New Roman;Times;serif" w:hAnsi="Times New Roman;Times;serif"/>
                <w:b/>
                <w:color w:val="231F20"/>
                <w:spacing w:val="-4"/>
                <w:sz w:val="12"/>
              </w:rPr>
            </w:pPr>
            <w:r>
              <w:rPr>
                <w:rFonts w:ascii="Times New Roman;Times;serif" w:hAnsi="Times New Roman;Times;serif"/>
                <w:b/>
                <w:color w:val="231F20"/>
                <w:spacing w:val="-4"/>
                <w:sz w:val="12"/>
              </w:rPr>
              <w:t>Cost</w:t>
            </w:r>
          </w:p>
        </w:tc>
        <w:tc>
          <w:tcPr>
            <w:tcW w:w="286" w:type="dxa"/>
            <w:tcBorders/>
            <w:vAlign w:val="center"/>
          </w:tcPr>
          <w:p>
            <w:pPr>
              <w:pStyle w:val="TableContents"/>
              <w:bidi w:val="0"/>
              <w:spacing w:lineRule="auto" w:line="285" w:before="0" w:after="0"/>
              <w:ind w:left="0" w:right="0" w:hanging="0"/>
              <w:jc w:val="center"/>
              <w:rPr>
                <w:color w:val="231F20"/>
                <w:spacing w:val="-4"/>
              </w:rPr>
            </w:pPr>
            <w:r>
              <w:rPr>
                <w:color w:val="231F20"/>
                <w:spacing w:val="-4"/>
              </w:rPr>
              <w:t>​</w:t>
            </w:r>
          </w:p>
        </w:tc>
        <w:tc>
          <w:tcPr>
            <w:tcW w:w="83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color w:val="231F20"/>
                <w:spacing w:val="-4"/>
                <w:sz w:val="12"/>
              </w:rPr>
            </w:pPr>
            <w:r>
              <w:rPr>
                <w:rFonts w:ascii="Times New Roman;Times;serif" w:hAnsi="Times New Roman;Times;serif"/>
                <w:b/>
                <w:color w:val="231F20"/>
                <w:spacing w:val="-4"/>
                <w:sz w:val="12"/>
              </w:rPr>
              <w:t>Value</w:t>
            </w:r>
          </w:p>
        </w:tc>
      </w:tr>
      <w:tr>
        <w:trPr/>
        <w:tc>
          <w:tcPr>
            <w:tcW w:w="89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color w:val="231F20"/>
                <w:spacing w:val="-2"/>
                <w:sz w:val="12"/>
              </w:rPr>
            </w:pPr>
            <w:r>
              <w:rPr>
                <w:rFonts w:ascii="Times New Roman;Times;serif" w:hAnsi="Times New Roman;Times;serif"/>
                <w:b/>
                <w:color w:val="231F20"/>
                <w:spacing w:val="-2"/>
                <w:sz w:val="12"/>
              </w:rPr>
              <w:t>Portfolio Company</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color w:val="231F20"/>
                <w:spacing w:val="-2"/>
              </w:rPr>
            </w:pPr>
            <w:r>
              <w:rPr>
                <w:color w:val="231F20"/>
                <w:spacing w:val="-2"/>
              </w:rPr>
              <w:t>  ​ ​ ​</w:t>
            </w:r>
          </w:p>
        </w:tc>
        <w:tc>
          <w:tcPr>
            <w:tcW w:w="68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color w:val="231F20"/>
                <w:spacing w:val="-2"/>
                <w:sz w:val="12"/>
              </w:rPr>
            </w:pPr>
            <w:r>
              <w:rPr>
                <w:rFonts w:ascii="Times New Roman;Times;serif" w:hAnsi="Times New Roman;Times;serif"/>
                <w:b/>
                <w:color w:val="231F20"/>
                <w:spacing w:val="-2"/>
                <w:sz w:val="12"/>
              </w:rPr>
              <w:t>Address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color w:val="231F20"/>
                <w:spacing w:val="-2"/>
              </w:rPr>
            </w:pPr>
            <w:r>
              <w:rPr>
                <w:color w:val="231F20"/>
                <w:spacing w:val="-2"/>
              </w:rPr>
              <w:t>  ​ ​ ​</w:t>
            </w:r>
          </w:p>
        </w:tc>
        <w:tc>
          <w:tcPr>
            <w:tcW w:w="67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color w:val="231F20"/>
                <w:spacing w:val="-4"/>
                <w:sz w:val="12"/>
              </w:rPr>
            </w:pPr>
            <w:r>
              <w:rPr>
                <w:rFonts w:ascii="Times New Roman;Times;serif" w:hAnsi="Times New Roman;Times;serif"/>
                <w:b/>
                <w:color w:val="231F20"/>
                <w:spacing w:val="-4"/>
                <w:sz w:val="12"/>
              </w:rPr>
              <w:t>Type</w:t>
            </w:r>
          </w:p>
        </w:tc>
        <w:tc>
          <w:tcPr>
            <w:tcW w:w="4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color w:val="231F20"/>
                <w:spacing w:val="-2"/>
              </w:rPr>
            </w:pPr>
            <w:r>
              <w:rPr>
                <w:color w:val="231F20"/>
                <w:spacing w:val="-2"/>
              </w:rPr>
              <w:t>  ​ ​ ​ ​</w:t>
            </w:r>
          </w:p>
        </w:tc>
        <w:tc>
          <w:tcPr>
            <w:tcW w:w="6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color w:val="231F20"/>
                <w:spacing w:val="-2"/>
                <w:sz w:val="12"/>
              </w:rPr>
            </w:pPr>
            <w:r>
              <w:rPr>
                <w:rFonts w:ascii="Times New Roman;Times;serif" w:hAnsi="Times New Roman;Times;serif"/>
                <w:b/>
                <w:color w:val="231F20"/>
                <w:spacing w:val="-2"/>
                <w:sz w:val="12"/>
              </w:rPr>
              <w:t>Description</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color w:val="231F20"/>
                <w:spacing w:val="-2"/>
              </w:rPr>
            </w:pPr>
            <w:r>
              <w:rPr>
                <w:color w:val="231F20"/>
                <w:spacing w:val="-2"/>
              </w:rPr>
              <w:t>  ​ ​ ​</w:t>
            </w:r>
          </w:p>
        </w:tc>
        <w:tc>
          <w:tcPr>
            <w:tcW w:w="57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color w:val="231F20"/>
                <w:spacing w:val="-4"/>
                <w:sz w:val="12"/>
              </w:rPr>
            </w:pPr>
            <w:r>
              <w:rPr>
                <w:rFonts w:ascii="Times New Roman;Times;serif" w:hAnsi="Times New Roman;Times;serif"/>
                <w:b/>
                <w:color w:val="231F20"/>
                <w:spacing w:val="-4"/>
                <w:sz w:val="12"/>
              </w:rPr>
              <w:t>Date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color w:val="231F20"/>
                <w:spacing w:val="-2"/>
              </w:rPr>
            </w:pPr>
            <w:r>
              <w:rPr>
                <w:color w:val="231F20"/>
                <w:spacing w:val="-2"/>
              </w:rPr>
              <w:t>  ​ ​ ​</w:t>
            </w:r>
          </w:p>
        </w:tc>
        <w:tc>
          <w:tcPr>
            <w:tcW w:w="55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color w:val="231F20"/>
                <w:spacing w:val="-5"/>
                <w:sz w:val="12"/>
              </w:rPr>
            </w:pPr>
            <w:r>
              <w:rPr>
                <w:rFonts w:ascii="Times New Roman;Times;serif" w:hAnsi="Times New Roman;Times;serif"/>
                <w:b/>
                <w:color w:val="231F20"/>
                <w:spacing w:val="-5"/>
                <w:sz w:val="12"/>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color w:val="231F20"/>
                <w:spacing w:val="-4"/>
              </w:rPr>
            </w:pPr>
            <w:r>
              <w:rPr>
                <w:color w:val="231F20"/>
                <w:spacing w:val="-4"/>
              </w:rPr>
              <w:t>  ​ ​ ​</w:t>
            </w:r>
          </w:p>
        </w:tc>
        <w:tc>
          <w:tcPr>
            <w:tcW w:w="57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color w:val="231F20"/>
                <w:spacing w:val="-4"/>
                <w:sz w:val="12"/>
              </w:rPr>
            </w:pPr>
            <w:r>
              <w:rPr>
                <w:rFonts w:ascii="Times New Roman;Times;serif" w:hAnsi="Times New Roman;Times;serif"/>
                <w:b/>
                <w:color w:val="231F20"/>
                <w:spacing w:val="-4"/>
                <w:sz w:val="12"/>
              </w:rPr>
              <w:t>Shares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color w:val="231F20"/>
              </w:rPr>
            </w:pPr>
            <w:r>
              <w:rPr>
                <w:color w:val="231F20"/>
              </w:rPr>
              <w:t>  ​ ​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color w:val="231F20"/>
                <w:spacing w:val="-2"/>
                <w:sz w:val="12"/>
              </w:rPr>
            </w:pPr>
            <w:r>
              <w:rPr>
                <w:rFonts w:ascii="Times New Roman;Times;serif" w:hAnsi="Times New Roman;Times;serif"/>
                <w:b/>
                <w:color w:val="231F20"/>
                <w:spacing w:val="-2"/>
                <w:sz w:val="12"/>
              </w:rPr>
              <w:t>Basis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color w:val="231F20"/>
                <w:spacing w:val="-4"/>
              </w:rPr>
            </w:pPr>
            <w:r>
              <w:rPr>
                <w:color w:val="231F20"/>
                <w:spacing w:val="-4"/>
              </w:rPr>
              <w:t>  ​ ​ ​</w:t>
            </w:r>
          </w:p>
        </w:tc>
        <w:tc>
          <w:tcPr>
            <w:tcW w:w="736"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center"/>
              <w:rPr>
                <w:rFonts w:ascii="Times New Roman;Times;serif" w:hAnsi="Times New Roman;Times;serif"/>
                <w:b/>
                <w:color w:val="231F20"/>
                <w:spacing w:val="-4"/>
                <w:sz w:val="12"/>
              </w:rPr>
            </w:pPr>
            <w:r>
              <w:rPr>
                <w:rFonts w:ascii="Times New Roman;Times;serif" w:hAnsi="Times New Roman;Times;serif"/>
                <w:b/>
                <w:color w:val="231F20"/>
                <w:spacing w:val="-4"/>
                <w:sz w:val="12"/>
              </w:rPr>
              <w:t>($)</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color w:val="231F20"/>
                <w:spacing w:val="-4"/>
              </w:rPr>
            </w:pPr>
            <w:r>
              <w:rPr>
                <w:color w:val="231F20"/>
                <w:spacing w:val="-4"/>
              </w:rPr>
              <w:t>  ​ ​</w:t>
            </w:r>
          </w:p>
        </w:tc>
        <w:tc>
          <w:tcPr>
            <w:tcW w:w="83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color w:val="231F20"/>
                <w:spacing w:val="-4"/>
                <w:sz w:val="12"/>
              </w:rPr>
            </w:pPr>
            <w:r>
              <w:rPr>
                <w:rFonts w:ascii="Times New Roman;Times;serif" w:hAnsi="Times New Roman;Times;serif"/>
                <w:b/>
                <w:color w:val="231F20"/>
                <w:spacing w:val="-4"/>
                <w:sz w:val="12"/>
              </w:rPr>
              <w:t>($)</w:t>
            </w:r>
          </w:p>
        </w:tc>
      </w:tr>
      <w:tr>
        <w:trPr/>
        <w:tc>
          <w:tcPr>
            <w:tcW w:w="894"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Equity</w:t>
            </w:r>
            <w:r>
              <w:rPr>
                <w:rFonts w:ascii="Times NR MT Pro" w:hAnsi="Times NR MT Pro"/>
                <w:color w:val="231F20"/>
                <w:spacing w:val="-5"/>
                <w:sz w:val="12"/>
              </w:rPr>
              <w:t xml:space="preserve"> </w:t>
            </w:r>
            <w:r>
              <w:rPr>
                <w:rFonts w:ascii="Times New Roman;Times;serif" w:hAnsi="Times New Roman;Times;serif"/>
                <w:b/>
                <w:color w:val="231F20"/>
                <w:spacing w:val="-2"/>
                <w:sz w:val="12"/>
              </w:rPr>
              <w:t>Investments</w:t>
            </w:r>
          </w:p>
        </w:tc>
        <w:tc>
          <w:tcPr>
            <w:tcW w:w="34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688"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2"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57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931"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28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673" w:type="dxa"/>
            <w:tcBorders>
              <w:top w:val="single" w:sz="2" w:space="0" w:color="000000"/>
            </w:tcBorders>
            <w:shd w:fill="CCEEFF" w:val="clear"/>
            <w:tcMar>
              <w:top w:w="28" w:type="dxa"/>
            </w:tcMar>
            <w:vAlign w:val="center"/>
          </w:tcPr>
          <w:p>
            <w:pPr>
              <w:pStyle w:val="TableContents"/>
              <w:bidi w:val="0"/>
              <w:spacing w:lineRule="auto" w:line="285" w:before="0" w:after="0"/>
              <w:ind w:left="0" w:right="0" w:hanging="0"/>
              <w:jc w:val="right"/>
              <w:rPr>
                <w:color w:val="231F20"/>
                <w:spacing w:val="-5"/>
              </w:rPr>
            </w:pPr>
            <w:r>
              <w:rPr>
                <w:color w:val="231F20"/>
                <w:spacing w:val="-5"/>
              </w:rPr>
              <w:t>​</w:t>
            </w:r>
          </w:p>
        </w:tc>
      </w:tr>
      <w:tr>
        <w:trPr/>
        <w:tc>
          <w:tcPr>
            <w:tcW w:w="894" w:type="dxa"/>
            <w:tcBorders/>
            <w:vAlign w:val="center"/>
          </w:tcPr>
          <w:p>
            <w:pPr>
              <w:pStyle w:val="TableContents"/>
              <w:bidi w:val="0"/>
              <w:spacing w:lineRule="auto" w:line="285" w:before="0" w:after="0"/>
              <w:ind w:left="0" w:right="0" w:hanging="0"/>
              <w:jc w:val="left"/>
              <w:rPr>
                <w:rFonts w:ascii="Times New Roman;Times;serif" w:hAnsi="Times New Roman;Times;serif"/>
                <w:b/>
                <w:color w:val="231F20"/>
                <w:spacing w:val="-2"/>
                <w:sz w:val="12"/>
              </w:rPr>
            </w:pPr>
            <w:r>
              <w:rPr>
                <w:rFonts w:ascii="Times New Roman;Times;serif" w:hAnsi="Times New Roman;Times;serif"/>
                <w:b/>
                <w:color w:val="231F20"/>
                <w:spacing w:val="-2"/>
                <w:sz w:val="12"/>
              </w:rPr>
              <w:t>Application Software</w:t>
            </w:r>
          </w:p>
        </w:tc>
        <w:tc>
          <w:tcPr>
            <w:tcW w:w="346" w:type="dxa"/>
            <w:tcBorders/>
            <w:vAlign w:val="center"/>
          </w:tcPr>
          <w:p>
            <w:pPr>
              <w:pStyle w:val="TableContents"/>
              <w:bidi w:val="0"/>
              <w:spacing w:lineRule="auto" w:line="285" w:before="0" w:after="0"/>
              <w:ind w:left="0" w:right="0" w:hanging="0"/>
              <w:jc w:val="left"/>
              <w:rPr/>
            </w:pPr>
            <w:r>
              <w:rPr/>
              <w:t>​</w:t>
            </w:r>
          </w:p>
        </w:tc>
        <w:tc>
          <w:tcPr>
            <w:tcW w:w="6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73"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6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5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28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673" w:type="dxa"/>
            <w:tcBorders/>
            <w:vAlign w:val="center"/>
          </w:tcPr>
          <w:p>
            <w:pPr>
              <w:pStyle w:val="TableContents"/>
              <w:bidi w:val="0"/>
              <w:spacing w:lineRule="auto" w:line="285" w:before="0" w:after="0"/>
              <w:ind w:left="0" w:right="0" w:hanging="0"/>
              <w:jc w:val="right"/>
              <w:rPr>
                <w:color w:val="231F20"/>
                <w:spacing w:val="-5"/>
              </w:rPr>
            </w:pPr>
            <w:r>
              <w:rPr>
                <w:color w:val="231F20"/>
                <w:spacing w:val="-5"/>
              </w:rPr>
              <w:t>​</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color w:val="231F20"/>
                <w:sz w:val="12"/>
              </w:rPr>
            </w:pPr>
            <w:r>
              <w:rPr>
                <w:rFonts w:ascii="Times New Roman;Times;serif" w:hAnsi="Times New Roman;Times;serif"/>
                <w:b/>
                <w:color w:val="231F20"/>
                <w:sz w:val="12"/>
              </w:rPr>
              <w:t>Coginiti Corp</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60"/>
              <w:ind w:left="0" w:right="0" w:hanging="0"/>
              <w:jc w:val="left"/>
              <w:rPr>
                <w:rFonts w:ascii="Times NR MT Pro" w:hAnsi="Times NR MT Pro"/>
                <w:sz w:val="12"/>
              </w:rPr>
            </w:pPr>
            <w:r>
              <w:rPr>
                <w:rFonts w:ascii="Times New Roman;Times;serif" w:hAnsi="Times New Roman;Times;serif"/>
                <w:color w:val="231F20"/>
                <w:sz w:val="12"/>
              </w:rPr>
              <w:t>464</w:t>
            </w:r>
            <w:r>
              <w:rPr>
                <w:rFonts w:ascii="Times NR MT Pro" w:hAnsi="Times NR MT Pro"/>
                <w:color w:val="231F20"/>
                <w:spacing w:val="-6"/>
                <w:sz w:val="12"/>
              </w:rPr>
              <w:t xml:space="preserve"> </w:t>
            </w:r>
            <w:r>
              <w:rPr>
                <w:rFonts w:ascii="Times New Roman;Times;serif" w:hAnsi="Times New Roman;Times;serif"/>
                <w:color w:val="231F20"/>
                <w:sz w:val="12"/>
              </w:rPr>
              <w:t>Monterey</w:t>
            </w:r>
            <w:r>
              <w:rPr>
                <w:rFonts w:ascii="Times NR MT Pro" w:hAnsi="Times NR MT Pro"/>
                <w:color w:val="231F20"/>
                <w:spacing w:val="-6"/>
                <w:sz w:val="12"/>
              </w:rPr>
              <w:t xml:space="preserve"> </w:t>
            </w:r>
            <w:r>
              <w:rPr>
                <w:rFonts w:ascii="Times New Roman;Times;serif" w:hAnsi="Times New Roman;Times;serif"/>
                <w:color w:val="231F20"/>
                <w:spacing w:val="-2"/>
                <w:sz w:val="12"/>
              </w:rPr>
              <w:t xml:space="preserve">Avenue </w:t>
            </w:r>
            <w:r>
              <w:rPr>
                <w:rFonts w:ascii="Times New Roman;Times;serif" w:hAnsi="Times New Roman;Times;serif"/>
                <w:color w:val="231F20"/>
                <w:sz w:val="12"/>
              </w:rPr>
              <w:t>Suite</w:t>
            </w:r>
            <w:r>
              <w:rPr>
                <w:rFonts w:ascii="Times NR MT Pro" w:hAnsi="Times NR MT Pro"/>
                <w:color w:val="231F20"/>
                <w:spacing w:val="-3"/>
                <w:sz w:val="12"/>
              </w:rPr>
              <w:t xml:space="preserve"> </w:t>
            </w:r>
            <w:r>
              <w:rPr>
                <w:rFonts w:ascii="Times New Roman;Times;serif" w:hAnsi="Times New Roman;Times;serif"/>
                <w:color w:val="231F20"/>
                <w:sz w:val="12"/>
              </w:rPr>
              <w:t>E</w:t>
            </w:r>
            <w:r>
              <w:rPr>
                <w:rFonts w:ascii="Times NR MT Pro" w:hAnsi="Times NR MT Pro"/>
                <w:color w:val="231F20"/>
                <w:spacing w:val="-3"/>
                <w:sz w:val="12"/>
              </w:rPr>
              <w:t xml:space="preserve"> </w:t>
            </w:r>
            <w:r>
              <w:rPr>
                <w:rFonts w:ascii="Times New Roman;Times;serif" w:hAnsi="Times New Roman;Times;serif"/>
                <w:color w:val="231F20"/>
                <w:sz w:val="12"/>
              </w:rPr>
              <w:t>Los</w:t>
            </w:r>
            <w:r>
              <w:rPr>
                <w:rFonts w:ascii="Times NR MT Pro" w:hAnsi="Times NR MT Pro"/>
                <w:color w:val="231F20"/>
                <w:spacing w:val="-3"/>
                <w:sz w:val="12"/>
              </w:rPr>
              <w:t xml:space="preserve"> </w:t>
            </w:r>
            <w:r>
              <w:rPr>
                <w:rFonts w:ascii="Times New Roman;Times;serif" w:hAnsi="Times New Roman;Times;serif"/>
                <w:color w:val="231F20"/>
                <w:spacing w:val="-2"/>
                <w:sz w:val="12"/>
              </w:rPr>
              <w:t xml:space="preserve">Gatos, </w:t>
            </w:r>
            <w:r>
              <w:rPr>
                <w:rFonts w:ascii="Times New Roman;Times;serif" w:hAnsi="Times New Roman;Times;serif"/>
                <w:color w:val="231F20"/>
                <w:sz w:val="12"/>
              </w:rPr>
              <w:t>CA</w:t>
            </w:r>
            <w:r>
              <w:rPr>
                <w:rFonts w:ascii="Times NR MT Pro" w:hAnsi="Times NR MT Pro"/>
                <w:color w:val="231F20"/>
                <w:spacing w:val="-5"/>
                <w:sz w:val="12"/>
              </w:rPr>
              <w:t xml:space="preserve"> </w:t>
            </w:r>
            <w:r>
              <w:rPr>
                <w:rFonts w:ascii="Times New Roman;Times;serif" w:hAnsi="Times New Roman;Times;serif"/>
                <w:color w:val="231F20"/>
                <w:sz w:val="12"/>
              </w:rPr>
              <w:t>95030</w:t>
            </w:r>
            <w:r>
              <w:rPr>
                <w:rFonts w:ascii="Times NR MT Pro" w:hAnsi="Times NR MT Pro"/>
                <w:color w:val="231F20"/>
                <w:spacing w:val="-4"/>
                <w:sz w:val="12"/>
              </w:rPr>
              <w:t xml:space="preserve"> </w:t>
            </w:r>
            <w:r>
              <w:rPr>
                <w:rFonts w:ascii="Times New Roman;Times;serif" w:hAnsi="Times New Roman;Times;serif"/>
                <w:color w:val="231F20"/>
                <w:sz w:val="12"/>
              </w:rPr>
              <w:t>United</w:t>
            </w:r>
            <w:r>
              <w:rPr>
                <w:rFonts w:ascii="Times NR MT Pro" w:hAnsi="Times NR MT Pro"/>
                <w:color w:val="231F20"/>
                <w:spacing w:val="-4"/>
                <w:sz w:val="12"/>
              </w:rPr>
              <w:t xml:space="preserve"> </w:t>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Equity</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686"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Common</w:t>
            </w:r>
            <w:r>
              <w:rPr>
                <w:rFonts w:ascii="Times NR MT Pro" w:hAnsi="Times NR MT Pro"/>
                <w:color w:val="231F20"/>
                <w:spacing w:val="-7"/>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5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1,040,160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10.62</w:t>
            </w:r>
          </w:p>
        </w:tc>
        <w:tc>
          <w:tcPr>
            <w:tcW w:w="346"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w:t>
            </w:r>
            <w:r>
              <w:rPr>
                <w:rFonts w:ascii="Times NR MT Pro" w:hAnsi="Times NR MT Pro"/>
                <w:color w:val="231F20"/>
                <w:spacing w:val="-4"/>
                <w:sz w:val="12"/>
              </w:rPr>
              <w:t>  </w:t>
            </w:r>
          </w:p>
        </w:tc>
        <w:tc>
          <w:tcPr>
            <w:tcW w:w="166" w:type="dxa"/>
            <w:tcBorders/>
            <w:shd w:fill="CCEEFF" w:val="cle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bottom w:val="single" w:sz="2" w:space="0" w:color="231F2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4,551</w:t>
            </w:r>
          </w:p>
        </w:tc>
        <w:tc>
          <w:tcPr>
            <w:tcW w:w="2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673" w:type="dxa"/>
            <w:tcBorders>
              <w:bottom w:val="single" w:sz="2" w:space="0" w:color="231F2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104</w:t>
            </w:r>
          </w:p>
        </w:tc>
      </w:tr>
      <w:tr>
        <w:trPr/>
        <w:tc>
          <w:tcPr>
            <w:tcW w:w="894" w:type="dxa"/>
            <w:tcBorders/>
            <w:vAlign w:val="center"/>
          </w:tcPr>
          <w:p>
            <w:pPr>
              <w:pStyle w:val="TableContents"/>
              <w:bidi w:val="0"/>
              <w:spacing w:lineRule="auto" w:line="285" w:before="0" w:after="0"/>
              <w:ind w:left="0" w:right="0" w:hanging="0"/>
              <w:jc w:val="left"/>
              <w:rPr>
                <w:rFonts w:ascii="Times New Roman;Times;serif" w:hAnsi="Times New Roman;Times;serif"/>
                <w:b/>
                <w:color w:val="231F20"/>
                <w:sz w:val="12"/>
              </w:rPr>
            </w:pPr>
            <w:r>
              <w:rPr>
                <w:rFonts w:ascii="Times New Roman;Times;serif" w:hAnsi="Times New Roman;Times;serif"/>
                <w:b/>
                <w:color w:val="231F20"/>
                <w:sz w:val="12"/>
              </w:rPr>
              <w:t>Total Application Software – 0.02%*</w:t>
            </w:r>
          </w:p>
        </w:tc>
        <w:tc>
          <w:tcPr>
            <w:tcW w:w="346" w:type="dxa"/>
            <w:tcBorders/>
            <w:vAlign w:val="center"/>
          </w:tcPr>
          <w:p>
            <w:pPr>
              <w:pStyle w:val="TableContents"/>
              <w:bidi w:val="0"/>
              <w:spacing w:lineRule="auto" w:line="285" w:before="0" w:after="0"/>
              <w:ind w:left="0" w:right="0" w:hanging="0"/>
              <w:jc w:val="left"/>
              <w:rPr/>
            </w:pPr>
            <w:r>
              <w:rPr/>
              <w:t>​</w:t>
            </w:r>
          </w:p>
        </w:tc>
        <w:tc>
          <w:tcPr>
            <w:tcW w:w="6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73"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6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5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top w:val="single" w:sz="2" w:space="0" w:color="231F20"/>
              <w:bottom w:val="single" w:sz="2" w:space="0" w:color="231F2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4,551</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673" w:type="dxa"/>
            <w:tcBorders>
              <w:top w:val="single" w:sz="2" w:space="0" w:color="231F20"/>
              <w:bottom w:val="single" w:sz="2" w:space="0" w:color="231F2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104</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pacing w:val="-2"/>
                <w:sz w:val="12"/>
              </w:rPr>
              <w:t>Healthcare</w:t>
            </w:r>
            <w:r>
              <w:rPr>
                <w:rFonts w:ascii="Times NR MT Pro" w:hAnsi="Times NR MT Pro"/>
                <w:color w:val="231F20"/>
                <w:spacing w:val="9"/>
                <w:sz w:val="12"/>
              </w:rPr>
              <w:t xml:space="preserve"> </w:t>
            </w:r>
            <w:r>
              <w:rPr>
                <w:rFonts w:ascii="Times New Roman;Times;serif" w:hAnsi="Times New Roman;Times;serif"/>
                <w:b/>
                <w:color w:val="231F20"/>
                <w:spacing w:val="-2"/>
                <w:sz w:val="12"/>
              </w:rPr>
              <w:t>Technology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3"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6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2"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55"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right"/>
              <w:rPr/>
            </w:pPr>
            <w:r>
              <w:rPr/>
              <w:t>​</w:t>
            </w:r>
          </w:p>
        </w:tc>
        <w:tc>
          <w:tcPr>
            <w:tcW w:w="570" w:type="dxa"/>
            <w:tcBorders>
              <w:top w:val="single" w:sz="2" w:space="0" w:color="231F20"/>
            </w:tcBorders>
            <w:shd w:fill="CCEEFF" w:val="clear"/>
            <w:tcMar>
              <w:top w:w="28" w:type="dxa"/>
            </w:tcMar>
            <w:vAlign w:val="center"/>
          </w:tcPr>
          <w:p>
            <w:pPr>
              <w:pStyle w:val="TableContents"/>
              <w:bidi w:val="0"/>
              <w:spacing w:lineRule="auto" w:line="285" w:before="0" w:after="0"/>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right"/>
              <w:rPr/>
            </w:pPr>
            <w:r>
              <w:rPr/>
              <w:t>​</w:t>
            </w:r>
          </w:p>
        </w:tc>
        <w:tc>
          <w:tcPr>
            <w:tcW w:w="673" w:type="dxa"/>
            <w:tcBorders>
              <w:top w:val="single" w:sz="2" w:space="0" w:color="231F20"/>
            </w:tcBorders>
            <w:shd w:fill="CCEEFF" w:val="clear"/>
            <w:tcMar>
              <w:top w:w="28" w:type="dxa"/>
            </w:tcMar>
            <w:vAlign w:val="center"/>
          </w:tcPr>
          <w:p>
            <w:pPr>
              <w:pStyle w:val="TableContents"/>
              <w:bidi w:val="0"/>
              <w:spacing w:lineRule="auto" w:line="285" w:before="0" w:after="0"/>
              <w:ind w:left="0" w:right="0" w:hanging="0"/>
              <w:jc w:val="right"/>
              <w:rPr/>
            </w:pPr>
            <w:r>
              <w:rPr/>
              <w:t>​</w:t>
            </w:r>
          </w:p>
        </w:tc>
      </w:tr>
      <w:tr>
        <w:trPr/>
        <w:tc>
          <w:tcPr>
            <w:tcW w:w="894"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Gynesonics,</w:t>
            </w:r>
            <w:r>
              <w:rPr>
                <w:rFonts w:ascii="Times NR MT Pro" w:hAnsi="Times NR MT Pro"/>
                <w:color w:val="231F20"/>
                <w:spacing w:val="7"/>
                <w:sz w:val="12"/>
              </w:rPr>
              <w:t xml:space="preserve"> </w:t>
            </w:r>
            <w:r>
              <w:rPr>
                <w:rFonts w:ascii="Times New Roman;Times;serif" w:hAnsi="Times New Roman;Times;serif"/>
                <w:color w:val="231F20"/>
                <w:spacing w:val="-4"/>
                <w:sz w:val="12"/>
              </w:rPr>
              <w:t>Inc.</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88" w:type="dxa"/>
            <w:tcBorders/>
            <w:vAlign w:val="center"/>
          </w:tcPr>
          <w:p>
            <w:pPr>
              <w:pStyle w:val="TableContents"/>
              <w:bidi w:val="0"/>
              <w:spacing w:lineRule="auto" w:line="285" w:before="0" w:after="60"/>
              <w:ind w:left="0" w:right="0" w:hanging="0"/>
              <w:jc w:val="left"/>
              <w:rPr>
                <w:rFonts w:ascii="Times NR MT Pro" w:hAnsi="Times NR MT Pro"/>
                <w:sz w:val="12"/>
              </w:rPr>
            </w:pPr>
            <w:r>
              <w:rPr>
                <w:rFonts w:ascii="Times New Roman;Times;serif" w:hAnsi="Times New Roman;Times;serif"/>
                <w:color w:val="231F20"/>
                <w:spacing w:val="-2"/>
                <w:sz w:val="12"/>
              </w:rPr>
              <w:t>600</w:t>
            </w:r>
            <w:r>
              <w:rPr>
                <w:rFonts w:ascii="Times NR MT Pro" w:hAnsi="Times NR MT Pro"/>
                <w:color w:val="231F20"/>
                <w:sz w:val="12"/>
              </w:rPr>
              <w:t xml:space="preserve"> </w:t>
            </w:r>
            <w:r>
              <w:rPr>
                <w:rFonts w:ascii="Times New Roman;Times;serif" w:hAnsi="Times New Roman;Times;serif"/>
                <w:color w:val="231F20"/>
                <w:spacing w:val="-2"/>
                <w:sz w:val="12"/>
              </w:rPr>
              <w:t>Chesapeake</w:t>
            </w:r>
            <w:r>
              <w:rPr>
                <w:rFonts w:ascii="Times NR MT Pro" w:hAnsi="Times NR MT Pro"/>
                <w:color w:val="231F20"/>
                <w:spacing w:val="1"/>
                <w:sz w:val="12"/>
              </w:rPr>
              <w:t xml:space="preserve"> </w:t>
            </w:r>
            <w:r>
              <w:rPr>
                <w:rFonts w:ascii="Times New Roman;Times;serif" w:hAnsi="Times New Roman;Times;serif"/>
                <w:color w:val="231F20"/>
                <w:spacing w:val="-2"/>
                <w:sz w:val="12"/>
              </w:rPr>
              <w:t>Drive Redwood</w:t>
            </w:r>
            <w:r>
              <w:rPr>
                <w:rFonts w:ascii="Times NR MT Pro" w:hAnsi="Times NR MT Pro"/>
                <w:color w:val="231F20"/>
                <w:spacing w:val="-7"/>
                <w:sz w:val="12"/>
              </w:rPr>
              <w:t xml:space="preserve"> </w:t>
            </w:r>
            <w:r>
              <w:rPr>
                <w:rFonts w:ascii="Times New Roman;Times;serif" w:hAnsi="Times New Roman;Times;serif"/>
                <w:color w:val="231F20"/>
                <w:spacing w:val="-2"/>
                <w:sz w:val="12"/>
              </w:rPr>
              <w:t>City,</w:t>
            </w:r>
            <w:r>
              <w:rPr>
                <w:rFonts w:ascii="Times NR MT Pro" w:hAnsi="Times NR MT Pro"/>
                <w:color w:val="231F20"/>
                <w:spacing w:val="-6"/>
                <w:sz w:val="12"/>
              </w:rPr>
              <w:t xml:space="preserve"> </w:t>
            </w:r>
            <w:r>
              <w:rPr>
                <w:rFonts w:ascii="Times New Roman;Times;serif" w:hAnsi="Times New Roman;Times;serif"/>
                <w:color w:val="231F20"/>
                <w:spacing w:val="-2"/>
                <w:sz w:val="12"/>
              </w:rPr>
              <w:t>CA</w:t>
            </w:r>
            <w:r>
              <w:rPr>
                <w:rFonts w:ascii="Times NR MT Pro" w:hAnsi="Times NR MT Pro"/>
                <w:color w:val="231F20"/>
                <w:spacing w:val="-6"/>
                <w:sz w:val="12"/>
              </w:rPr>
              <w:t xml:space="preserve"> </w:t>
            </w:r>
            <w:r>
              <w:rPr>
                <w:rFonts w:ascii="Times New Roman;Times;serif" w:hAnsi="Times New Roman;Times;serif"/>
                <w:color w:val="231F20"/>
                <w:spacing w:val="-2"/>
                <w:sz w:val="12"/>
              </w:rPr>
              <w:t>94063</w:t>
            </w:r>
            <w:r>
              <w:rPr>
                <w:rFonts w:ascii="Times NR MT Pro" w:hAnsi="Times NR MT Pro"/>
                <w:color w:val="231F20"/>
                <w:spacing w:val="40"/>
                <w:sz w:val="12"/>
              </w:rPr>
              <w:t xml:space="preserve"> </w:t>
            </w:r>
            <w:r>
              <w:rPr>
                <w:rFonts w:ascii="Times New Roman;Times;serif" w:hAnsi="Times New Roman;Times;serif"/>
                <w:color w:val="231F20"/>
                <w:sz w:val="12"/>
              </w:rPr>
              <w:t>United</w:t>
            </w:r>
            <w:r>
              <w:rPr>
                <w:rFonts w:ascii="Times NR MT Pro" w:hAnsi="Times NR MT Pro"/>
                <w:color w:val="231F20"/>
                <w:spacing w:val="-9"/>
                <w:sz w:val="12"/>
              </w:rPr>
              <w:t xml:space="preserve"> </w:t>
            </w:r>
            <w:r>
              <w:rPr>
                <w:rFonts w:ascii="Times New Roman;Times;serif" w:hAnsi="Times New Roman;Times;serif"/>
                <w:color w:val="231F20"/>
                <w:sz w:val="12"/>
              </w:rPr>
              <w:t>States</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Equity</w:t>
            </w:r>
          </w:p>
        </w:tc>
        <w:tc>
          <w:tcPr>
            <w:tcW w:w="40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Series</w:t>
            </w:r>
            <w:r>
              <w:rPr>
                <w:rFonts w:ascii="Times NR MT Pro" w:hAnsi="Times NR MT Pro"/>
                <w:color w:val="231F20"/>
                <w:spacing w:val="-6"/>
                <w:sz w:val="12"/>
              </w:rPr>
              <w:t xml:space="preserve"> </w:t>
            </w:r>
            <w:r>
              <w:rPr>
                <w:rFonts w:ascii="Times New Roman;Times;serif" w:hAnsi="Times New Roman;Times;serif"/>
                <w:color w:val="231F20"/>
                <w:sz w:val="12"/>
              </w:rPr>
              <w:t>A-2</w:t>
            </w:r>
            <w:r>
              <w:rPr>
                <w:rFonts w:ascii="Times NR MT Pro" w:hAnsi="Times NR MT Pro"/>
                <w:color w:val="231F20"/>
                <w:spacing w:val="-6"/>
                <w:sz w:val="12"/>
              </w:rPr>
              <w:t xml:space="preserve"> </w:t>
            </w:r>
            <w:r>
              <w:rPr>
                <w:rFonts w:ascii="Times New Roman;Times;serif" w:hAnsi="Times New Roman;Times;serif"/>
                <w:color w:val="231F20"/>
                <w:sz w:val="12"/>
              </w:rPr>
              <w:t>Preferred</w:t>
            </w:r>
            <w:r>
              <w:rPr>
                <w:rFonts w:ascii="Times NR MT Pro" w:hAnsi="Times NR MT Pro"/>
                <w:color w:val="231F20"/>
                <w:spacing w:val="-6"/>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2"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3,266,668</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93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6.25</w:t>
            </w:r>
          </w:p>
        </w:tc>
        <w:tc>
          <w:tcPr>
            <w:tcW w:w="346"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w:t>
            </w:r>
            <w:r>
              <w:rPr>
                <w:rFonts w:ascii="Times NR MT Pro" w:hAnsi="Times NR MT Pro"/>
                <w:color w:val="231F20"/>
                <w:spacing w:val="-4"/>
                <w:sz w:val="12"/>
              </w:rPr>
              <w:t>  </w:t>
            </w:r>
          </w:p>
        </w:tc>
        <w:tc>
          <w:tcPr>
            <w:tcW w:w="166" w:type="dxa"/>
            <w:tcBorders/>
            <w:vAlign w:val="center"/>
          </w:tcPr>
          <w:p>
            <w:pPr>
              <w:pStyle w:val="TableContents"/>
              <w:bidi w:val="0"/>
              <w:spacing w:lineRule="auto" w:line="285" w:before="0" w:after="0"/>
              <w:ind w:left="0" w:right="0" w:hanging="0"/>
              <w:jc w:val="right"/>
              <w:rPr/>
            </w:pPr>
            <w:r>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25,000</w:t>
            </w:r>
          </w:p>
        </w:tc>
        <w:tc>
          <w:tcPr>
            <w:tcW w:w="28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673"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23,969</w:t>
            </w:r>
          </w:p>
        </w:tc>
      </w:tr>
      <w:tr>
        <w:trPr/>
        <w:tc>
          <w:tcPr>
            <w:tcW w:w="894"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88"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Equity</w:t>
            </w:r>
          </w:p>
        </w:tc>
        <w:tc>
          <w:tcPr>
            <w:tcW w:w="40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Series</w:t>
            </w:r>
            <w:r>
              <w:rPr>
                <w:rFonts w:ascii="Times NR MT Pro" w:hAnsi="Times NR MT Pro"/>
                <w:color w:val="231F20"/>
                <w:spacing w:val="-6"/>
                <w:sz w:val="12"/>
              </w:rPr>
              <w:t xml:space="preserve"> </w:t>
            </w:r>
            <w:r>
              <w:rPr>
                <w:rFonts w:ascii="Times New Roman;Times;serif" w:hAnsi="Times New Roman;Times;serif"/>
                <w:color w:val="231F20"/>
                <w:sz w:val="12"/>
              </w:rPr>
              <w:t>A-1</w:t>
            </w:r>
            <w:r>
              <w:rPr>
                <w:rFonts w:ascii="Times NR MT Pro" w:hAnsi="Times NR MT Pro"/>
                <w:color w:val="231F20"/>
                <w:spacing w:val="-6"/>
                <w:sz w:val="12"/>
              </w:rPr>
              <w:t xml:space="preserve"> </w:t>
            </w:r>
            <w:r>
              <w:rPr>
                <w:rFonts w:ascii="Times New Roman;Times;serif" w:hAnsi="Times New Roman;Times;serif"/>
                <w:color w:val="231F20"/>
                <w:sz w:val="12"/>
              </w:rPr>
              <w:t>Preferred</w:t>
            </w:r>
            <w:r>
              <w:rPr>
                <w:rFonts w:ascii="Times NR MT Pro" w:hAnsi="Times NR MT Pro"/>
                <w:color w:val="231F20"/>
                <w:spacing w:val="-6"/>
                <w:sz w:val="12"/>
              </w:rPr>
              <w:t xml:space="preserve"> </w:t>
            </w:r>
            <w:r>
              <w:rPr>
                <w:rFonts w:ascii="Times New Roman;Times;serif" w:hAnsi="Times New Roman;Times;serif"/>
                <w:color w:val="231F20"/>
                <w:spacing w:val="-2"/>
                <w:sz w:val="12"/>
              </w:rPr>
              <w:t>Stock</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3,100,000</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93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3.63</w:t>
            </w:r>
          </w:p>
        </w:tc>
        <w:tc>
          <w:tcPr>
            <w:tcW w:w="346"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w:t>
            </w:r>
            <w:r>
              <w:rPr>
                <w:rFonts w:ascii="Times NR MT Pro" w:hAnsi="Times NR MT Pro"/>
                <w:color w:val="231F20"/>
                <w:spacing w:val="-4"/>
                <w:sz w:val="12"/>
              </w:rPr>
              <w:t>  </w:t>
            </w:r>
          </w:p>
        </w:tc>
        <w:tc>
          <w:tcPr>
            <w:tcW w:w="166" w:type="dxa"/>
            <w:tcBorders/>
            <w:shd w:fill="CCEEFF" w:val="clear"/>
            <w:vAlign w:val="center"/>
          </w:tcPr>
          <w:p>
            <w:pPr>
              <w:pStyle w:val="TableContents"/>
              <w:bidi w:val="0"/>
              <w:spacing w:lineRule="auto" w:line="285" w:before="0" w:after="0"/>
              <w:ind w:left="0" w:right="0" w:hanging="0"/>
              <w:jc w:val="right"/>
              <w:rPr/>
            </w:pPr>
            <w:r>
              <w:rPr/>
              <w:t>​</w:t>
            </w:r>
          </w:p>
        </w:tc>
        <w:tc>
          <w:tcPr>
            <w:tcW w:w="570" w:type="dxa"/>
            <w:tcBorders>
              <w:bottom w:val="single" w:sz="2" w:space="0" w:color="231F2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2"/>
              </w:rPr>
            </w:pPr>
            <w:r>
              <w:rPr>
                <w:rFonts w:ascii="Times New Roman;Times;serif" w:hAnsi="Times New Roman;Times;serif"/>
                <w:sz w:val="12"/>
              </w:rPr>
              <w:t>3,100</w:t>
            </w:r>
          </w:p>
        </w:tc>
        <w:tc>
          <w:tcPr>
            <w:tcW w:w="2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673" w:type="dxa"/>
            <w:tcBorders>
              <w:bottom w:val="single" w:sz="2" w:space="0" w:color="231F2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8,328</w:t>
            </w:r>
          </w:p>
        </w:tc>
      </w:tr>
      <w:tr>
        <w:trPr/>
        <w:tc>
          <w:tcPr>
            <w:tcW w:w="894" w:type="dxa"/>
            <w:tcBorders/>
            <w:vAlign w:val="center"/>
          </w:tcPr>
          <w:p>
            <w:pPr>
              <w:pStyle w:val="TableContents"/>
              <w:bidi w:val="0"/>
              <w:spacing w:lineRule="auto" w:line="285" w:before="0" w:after="0"/>
              <w:ind w:left="0" w:right="0" w:hanging="0"/>
              <w:jc w:val="left"/>
              <w:rPr>
                <w:rFonts w:ascii="Times New Roman;Times;serif" w:hAnsi="Times New Roman;Times;serif"/>
                <w:b/>
                <w:sz w:val="12"/>
              </w:rPr>
            </w:pPr>
            <w:r>
              <w:rPr>
                <w:rFonts w:ascii="Times New Roman;Times;serif" w:hAnsi="Times New Roman;Times;serif"/>
                <w:b/>
                <w:sz w:val="12"/>
              </w:rPr>
              <w:t>Total Healthcare Technology – 6.37%*</w:t>
            </w:r>
          </w:p>
        </w:tc>
        <w:tc>
          <w:tcPr>
            <w:tcW w:w="346" w:type="dxa"/>
            <w:tcBorders/>
            <w:vAlign w:val="center"/>
          </w:tcPr>
          <w:p>
            <w:pPr>
              <w:pStyle w:val="TableContents"/>
              <w:bidi w:val="0"/>
              <w:spacing w:lineRule="auto" w:line="285" w:before="0" w:after="0"/>
              <w:ind w:left="0" w:right="0" w:hanging="0"/>
              <w:jc w:val="left"/>
              <w:rPr/>
            </w:pPr>
            <w:r>
              <w:rPr/>
              <w:t>​</w:t>
            </w:r>
          </w:p>
        </w:tc>
        <w:tc>
          <w:tcPr>
            <w:tcW w:w="6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73"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6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5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top w:val="single" w:sz="2" w:space="0" w:color="231F20"/>
              <w:bottom w:val="single" w:sz="2" w:space="0" w:color="231F2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28,100</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673" w:type="dxa"/>
            <w:tcBorders>
              <w:top w:val="single" w:sz="2" w:space="0" w:color="231F20"/>
              <w:bottom w:val="single" w:sz="2" w:space="0" w:color="231F2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32,297</w:t>
            </w:r>
          </w:p>
        </w:tc>
      </w:tr>
      <w:tr>
        <w:trPr/>
        <w:tc>
          <w:tcPr>
            <w:tcW w:w="894" w:type="dxa"/>
            <w:tcBorders/>
            <w:shd w:fill="CCEEFF" w:val="clear"/>
            <w:vAlign w:val="center"/>
          </w:tcPr>
          <w:p>
            <w:pPr>
              <w:pStyle w:val="TableContents"/>
              <w:pBdr/>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4"/>
                <w:sz w:val="12"/>
              </w:rPr>
              <w:t xml:space="preserve"> </w:t>
            </w:r>
            <w:r>
              <w:rPr>
                <w:rFonts w:ascii="Times New Roman;Times;serif" w:hAnsi="Times New Roman;Times;serif"/>
                <w:b/>
                <w:color w:val="231F20"/>
                <w:sz w:val="12"/>
              </w:rPr>
              <w:t>Equity</w:t>
            </w:r>
            <w:r>
              <w:rPr>
                <w:rFonts w:ascii="Times NR MT Pro" w:hAnsi="Times NR MT Pro"/>
                <w:color w:val="231F20"/>
                <w:spacing w:val="-3"/>
                <w:sz w:val="12"/>
              </w:rPr>
              <w:t xml:space="preserve"> </w:t>
            </w:r>
            <w:r>
              <w:rPr>
                <w:rFonts w:ascii="Times New Roman;Times;serif" w:hAnsi="Times New Roman;Times;serif"/>
                <w:b/>
                <w:color w:val="231F20"/>
                <w:sz w:val="12"/>
              </w:rPr>
              <w:t>Investments –</w:t>
            </w:r>
            <w:r>
              <w:rPr>
                <w:rFonts w:ascii="Times NR MT Pro" w:hAnsi="Times NR MT Pro"/>
                <w:color w:val="231F20"/>
                <w:spacing w:val="-1"/>
                <w:sz w:val="12"/>
              </w:rPr>
              <w:t xml:space="preserve"> </w:t>
            </w:r>
            <w:r>
              <w:rPr>
                <w:rFonts w:ascii="Times New Roman;Times;serif" w:hAnsi="Times New Roman;Times;serif"/>
                <w:b/>
                <w:color w:val="231F20"/>
                <w:sz w:val="12"/>
              </w:rPr>
              <w:t>6.39%*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3"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6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2"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55"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shd w:fill="CCEEFF" w:val="cle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top w:val="single" w:sz="2" w:space="0" w:color="231F20"/>
              <w:bottom w:val="single" w:sz="2" w:space="0" w:color="231F2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32,651</w:t>
            </w:r>
          </w:p>
        </w:tc>
        <w:tc>
          <w:tcPr>
            <w:tcW w:w="2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673" w:type="dxa"/>
            <w:tcBorders>
              <w:top w:val="single" w:sz="2" w:space="0" w:color="231F20"/>
              <w:bottom w:val="single" w:sz="2" w:space="0" w:color="231F2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32,401</w:t>
            </w:r>
          </w:p>
        </w:tc>
      </w:tr>
      <w:tr>
        <w:trPr/>
        <w:tc>
          <w:tcPr>
            <w:tcW w:w="894" w:type="dxa"/>
            <w:tcBorders/>
            <w:vAlign w:val="center"/>
          </w:tcPr>
          <w:p>
            <w:pPr>
              <w:pStyle w:val="TableContents"/>
              <w:pBdr/>
              <w:bidi w:val="0"/>
              <w:spacing w:lineRule="auto" w:line="285" w:before="0" w:after="0"/>
              <w:ind w:left="0" w:right="0" w:hanging="0"/>
              <w:jc w:val="left"/>
              <w:rPr>
                <w:rFonts w:ascii="Times New Roman;Times;serif" w:hAnsi="Times New Roman;Times;serif"/>
                <w:b/>
                <w:color w:val="231F20"/>
                <w:spacing w:val="-2"/>
                <w:sz w:val="12"/>
              </w:rPr>
            </w:pPr>
            <w:r>
              <w:rPr>
                <w:rFonts w:ascii="Times New Roman;Times;serif" w:hAnsi="Times New Roman;Times;serif"/>
                <w:b/>
                <w:color w:val="231F20"/>
                <w:spacing w:val="-2"/>
                <w:sz w:val="12"/>
              </w:rPr>
              <w:t>Warrants</w:t>
            </w:r>
          </w:p>
        </w:tc>
        <w:tc>
          <w:tcPr>
            <w:tcW w:w="346" w:type="dxa"/>
            <w:tcBorders/>
            <w:vAlign w:val="center"/>
          </w:tcPr>
          <w:p>
            <w:pPr>
              <w:pStyle w:val="TableContents"/>
              <w:bidi w:val="0"/>
              <w:spacing w:lineRule="auto" w:line="285" w:before="0" w:after="0"/>
              <w:ind w:left="0" w:right="0" w:hanging="0"/>
              <w:jc w:val="left"/>
              <w:rPr/>
            </w:pPr>
            <w:r>
              <w:rPr/>
              <w:t>​</w:t>
            </w:r>
          </w:p>
        </w:tc>
        <w:tc>
          <w:tcPr>
            <w:tcW w:w="6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73"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6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5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right"/>
              <w:rPr/>
            </w:pPr>
            <w:r>
              <w:rPr/>
              <w:t>​</w:t>
            </w:r>
          </w:p>
        </w:tc>
        <w:tc>
          <w:tcPr>
            <w:tcW w:w="570" w:type="dxa"/>
            <w:tcBorders>
              <w:top w:val="single" w:sz="2" w:space="0" w:color="231F20"/>
            </w:tcBorders>
            <w:tcMar>
              <w:top w:w="28" w:type="dxa"/>
            </w:tcMar>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right"/>
              <w:rPr/>
            </w:pPr>
            <w:r>
              <w:rPr/>
              <w:t>​</w:t>
            </w:r>
          </w:p>
        </w:tc>
        <w:tc>
          <w:tcPr>
            <w:tcW w:w="673" w:type="dxa"/>
            <w:tcBorders>
              <w:top w:val="single" w:sz="2" w:space="0" w:color="231F20"/>
            </w:tcBorders>
            <w:tcMar>
              <w:top w:w="28" w:type="dxa"/>
            </w:tcMar>
            <w:vAlign w:val="center"/>
          </w:tcPr>
          <w:p>
            <w:pPr>
              <w:pStyle w:val="TableContents"/>
              <w:bidi w:val="0"/>
              <w:spacing w:lineRule="auto" w:line="285" w:before="0" w:after="0"/>
              <w:ind w:left="0" w:right="0" w:hanging="0"/>
              <w:jc w:val="right"/>
              <w:rPr/>
            </w:pPr>
            <w:r>
              <w:rPr/>
              <w:t>​</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pacing w:val="-2"/>
                <w:sz w:val="12"/>
              </w:rPr>
              <w:t>Application</w:t>
            </w:r>
            <w:r>
              <w:rPr>
                <w:rFonts w:ascii="Times NR MT Pro" w:hAnsi="Times NR MT Pro"/>
                <w:color w:val="231F20"/>
                <w:spacing w:val="11"/>
                <w:sz w:val="12"/>
              </w:rPr>
              <w:t xml:space="preserve"> </w:t>
            </w:r>
            <w:r>
              <w:rPr>
                <w:rFonts w:ascii="Times New Roman;Times;serif" w:hAnsi="Times New Roman;Times;serif"/>
                <w:b/>
                <w:color w:val="231F20"/>
                <w:spacing w:val="-2"/>
                <w:sz w:val="12"/>
              </w:rPr>
              <w:t>Software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3"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6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2"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55"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right"/>
              <w:rPr/>
            </w:pPr>
            <w:r>
              <w:rPr/>
              <w:t>​</w:t>
            </w:r>
          </w:p>
        </w:tc>
        <w:tc>
          <w:tcPr>
            <w:tcW w:w="570" w:type="dxa"/>
            <w:tcBorders/>
            <w:shd w:fill="CCEEFF" w:val="clear"/>
            <w:vAlign w:val="center"/>
          </w:tcPr>
          <w:p>
            <w:pPr>
              <w:pStyle w:val="TableContents"/>
              <w:bidi w:val="0"/>
              <w:spacing w:lineRule="auto" w:line="285" w:before="0" w:after="0"/>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right"/>
              <w:rPr/>
            </w:pPr>
            <w:r>
              <w:rPr/>
              <w:t>​</w:t>
            </w:r>
          </w:p>
        </w:tc>
        <w:tc>
          <w:tcPr>
            <w:tcW w:w="673" w:type="dxa"/>
            <w:tcBorders/>
            <w:shd w:fill="CCEEFF" w:val="clear"/>
            <w:vAlign w:val="center"/>
          </w:tcPr>
          <w:p>
            <w:pPr>
              <w:pStyle w:val="TableContents"/>
              <w:bidi w:val="0"/>
              <w:spacing w:lineRule="auto" w:line="285" w:before="0" w:after="0"/>
              <w:ind w:left="0" w:right="0" w:hanging="0"/>
              <w:jc w:val="right"/>
              <w:rPr/>
            </w:pPr>
            <w:r>
              <w:rPr/>
              <w:t>​</w:t>
            </w:r>
          </w:p>
        </w:tc>
      </w:tr>
      <w:tr>
        <w:trPr/>
        <w:tc>
          <w:tcPr>
            <w:tcW w:w="894"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Coginiti</w:t>
            </w:r>
            <w:r>
              <w:rPr>
                <w:rFonts w:ascii="Times NR MT Pro" w:hAnsi="Times NR MT Pro"/>
                <w:color w:val="231F20"/>
                <w:spacing w:val="7"/>
                <w:sz w:val="12"/>
              </w:rPr>
              <w:t xml:space="preserve"> </w:t>
            </w:r>
            <w:r>
              <w:rPr>
                <w:rFonts w:ascii="Times New Roman;Times;serif" w:hAnsi="Times New Roman;Times;serif"/>
                <w:color w:val="231F20"/>
                <w:spacing w:val="-4"/>
                <w:sz w:val="12"/>
              </w:rPr>
              <w:t>Corp</w:t>
            </w:r>
          </w:p>
        </w:tc>
        <w:tc>
          <w:tcPr>
            <w:tcW w:w="34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688" w:type="dxa"/>
            <w:tcBorders/>
            <w:vAlign w:val="center"/>
          </w:tcPr>
          <w:p>
            <w:pPr>
              <w:pStyle w:val="TableContents"/>
              <w:bidi w:val="0"/>
              <w:spacing w:lineRule="auto" w:line="285" w:before="0" w:after="60"/>
              <w:ind w:left="0" w:right="0" w:hanging="0"/>
              <w:jc w:val="left"/>
              <w:rPr>
                <w:rFonts w:ascii="Times NR MT Pro" w:hAnsi="Times NR MT Pro"/>
                <w:sz w:val="12"/>
              </w:rPr>
            </w:pPr>
            <w:r>
              <w:rPr>
                <w:rFonts w:ascii="Times New Roman;Times;serif" w:hAnsi="Times New Roman;Times;serif"/>
                <w:color w:val="231F20"/>
                <w:sz w:val="12"/>
              </w:rPr>
              <w:t>464</w:t>
            </w:r>
            <w:r>
              <w:rPr>
                <w:rFonts w:ascii="Times NR MT Pro" w:hAnsi="Times NR MT Pro"/>
                <w:color w:val="231F20"/>
                <w:spacing w:val="-6"/>
                <w:sz w:val="12"/>
              </w:rPr>
              <w:t xml:space="preserve"> </w:t>
            </w:r>
            <w:r>
              <w:rPr>
                <w:rFonts w:ascii="Times New Roman;Times;serif" w:hAnsi="Times New Roman;Times;serif"/>
                <w:color w:val="231F20"/>
                <w:sz w:val="12"/>
              </w:rPr>
              <w:t>Monterey</w:t>
            </w:r>
            <w:r>
              <w:rPr>
                <w:rFonts w:ascii="Times NR MT Pro" w:hAnsi="Times NR MT Pro"/>
                <w:color w:val="231F20"/>
                <w:spacing w:val="-6"/>
                <w:sz w:val="12"/>
              </w:rPr>
              <w:t xml:space="preserve"> </w:t>
            </w:r>
            <w:r>
              <w:rPr>
                <w:rFonts w:ascii="Times New Roman;Times;serif" w:hAnsi="Times New Roman;Times;serif"/>
                <w:color w:val="231F20"/>
                <w:spacing w:val="-2"/>
                <w:sz w:val="12"/>
              </w:rPr>
              <w:t xml:space="preserve">Avenue </w:t>
            </w:r>
            <w:r>
              <w:rPr>
                <w:rFonts w:ascii="Times New Roman;Times;serif" w:hAnsi="Times New Roman;Times;serif"/>
                <w:color w:val="231F20"/>
                <w:sz w:val="12"/>
              </w:rPr>
              <w:t>Suite</w:t>
            </w:r>
            <w:r>
              <w:rPr>
                <w:rFonts w:ascii="Times NR MT Pro" w:hAnsi="Times NR MT Pro"/>
                <w:color w:val="231F20"/>
                <w:spacing w:val="-3"/>
                <w:sz w:val="12"/>
              </w:rPr>
              <w:t xml:space="preserve"> </w:t>
            </w:r>
            <w:r>
              <w:rPr>
                <w:rFonts w:ascii="Times New Roman;Times;serif" w:hAnsi="Times New Roman;Times;serif"/>
                <w:color w:val="231F20"/>
                <w:sz w:val="12"/>
              </w:rPr>
              <w:t>E</w:t>
            </w:r>
            <w:r>
              <w:rPr>
                <w:rFonts w:ascii="Times NR MT Pro" w:hAnsi="Times NR MT Pro"/>
                <w:color w:val="231F20"/>
                <w:spacing w:val="-3"/>
                <w:sz w:val="12"/>
              </w:rPr>
              <w:t xml:space="preserve"> </w:t>
            </w:r>
            <w:r>
              <w:rPr>
                <w:rFonts w:ascii="Times New Roman;Times;serif" w:hAnsi="Times New Roman;Times;serif"/>
                <w:color w:val="231F20"/>
                <w:sz w:val="12"/>
              </w:rPr>
              <w:t>Los</w:t>
            </w:r>
            <w:r>
              <w:rPr>
                <w:rFonts w:ascii="Times NR MT Pro" w:hAnsi="Times NR MT Pro"/>
                <w:color w:val="231F20"/>
                <w:spacing w:val="-3"/>
                <w:sz w:val="12"/>
              </w:rPr>
              <w:t xml:space="preserve"> </w:t>
            </w:r>
            <w:r>
              <w:rPr>
                <w:rFonts w:ascii="Times New Roman;Times;serif" w:hAnsi="Times New Roman;Times;serif"/>
                <w:color w:val="231F20"/>
                <w:spacing w:val="-2"/>
                <w:sz w:val="12"/>
              </w:rPr>
              <w:t xml:space="preserve">Gatos, </w:t>
            </w:r>
            <w:r>
              <w:rPr>
                <w:rFonts w:ascii="Times New Roman;Times;serif" w:hAnsi="Times New Roman;Times;serif"/>
                <w:color w:val="231F20"/>
                <w:sz w:val="12"/>
              </w:rPr>
              <w:t>CA</w:t>
            </w:r>
            <w:r>
              <w:rPr>
                <w:rFonts w:ascii="Times NR MT Pro" w:hAnsi="Times NR MT Pro"/>
                <w:color w:val="231F20"/>
                <w:spacing w:val="-5"/>
                <w:sz w:val="12"/>
              </w:rPr>
              <w:t xml:space="preserve"> </w:t>
            </w:r>
            <w:r>
              <w:rPr>
                <w:rFonts w:ascii="Times New Roman;Times;serif" w:hAnsi="Times New Roman;Times;serif"/>
                <w:color w:val="231F20"/>
                <w:sz w:val="12"/>
              </w:rPr>
              <w:t>95030</w:t>
            </w:r>
            <w:r>
              <w:rPr>
                <w:rFonts w:ascii="Times NR MT Pro" w:hAnsi="Times NR MT Pro"/>
                <w:color w:val="231F20"/>
                <w:spacing w:val="-4"/>
                <w:sz w:val="12"/>
              </w:rPr>
              <w:t xml:space="preserve"> </w:t>
            </w:r>
            <w:r>
              <w:rPr>
                <w:rFonts w:ascii="Times New Roman;Times;serif" w:hAnsi="Times New Roman;Times;serif"/>
                <w:color w:val="231F20"/>
                <w:sz w:val="12"/>
              </w:rPr>
              <w:t>United</w:t>
            </w:r>
            <w:r>
              <w:rPr>
                <w:rFonts w:ascii="Times NR MT Pro" w:hAnsi="Times NR MT Pro"/>
                <w:color w:val="231F20"/>
                <w:spacing w:val="-4"/>
                <w:sz w:val="12"/>
              </w:rPr>
              <w:t xml:space="preserve"> </w:t>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Warrants</w:t>
            </w:r>
          </w:p>
        </w:tc>
        <w:tc>
          <w:tcPr>
            <w:tcW w:w="40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Common</w:t>
            </w:r>
            <w:r>
              <w:rPr>
                <w:rFonts w:ascii="Times NR MT Pro" w:hAnsi="Times NR MT Pro"/>
                <w:color w:val="231F20"/>
                <w:spacing w:val="-7"/>
                <w:sz w:val="12"/>
              </w:rPr>
              <w:t xml:space="preserve"> </w:t>
            </w:r>
            <w:r>
              <w:rPr>
                <w:rFonts w:ascii="Times New Roman;Times;serif" w:hAnsi="Times New Roman;Times;serif"/>
                <w:color w:val="231F20"/>
                <w:spacing w:val="-2"/>
                <w:sz w:val="12"/>
              </w:rPr>
              <w:t>Stock</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572"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3/9/2030</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811,770</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93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285" w:before="0" w:after="0"/>
              <w:ind w:left="0" w:right="0" w:hanging="0"/>
              <w:jc w:val="left"/>
              <w:rPr>
                <w:color w:val="231F20"/>
                <w:spacing w:val="-10"/>
              </w:rPr>
            </w:pPr>
            <w:r>
              <w:rPr>
                <w:color w:val="231F20"/>
                <w:spacing w:val="-10"/>
              </w:rPr>
              <w:t>​</w:t>
            </w:r>
          </w:p>
        </w:tc>
        <w:tc>
          <w:tcPr>
            <w:tcW w:w="166" w:type="dxa"/>
            <w:tcBorders/>
            <w:vAlign w:val="center"/>
          </w:tcPr>
          <w:p>
            <w:pPr>
              <w:pStyle w:val="TableContents"/>
              <w:bidi w:val="0"/>
              <w:spacing w:lineRule="auto" w:line="285" w:before="0" w:after="0"/>
              <w:ind w:left="0" w:right="0" w:hanging="0"/>
              <w:jc w:val="right"/>
              <w:rPr>
                <w:color w:val="231F20"/>
                <w:spacing w:val="-10"/>
              </w:rPr>
            </w:pPr>
            <w:r>
              <w:rPr>
                <w:color w:val="231F20"/>
                <w:spacing w:val="-10"/>
              </w:rPr>
              <w:t>​</w:t>
            </w:r>
          </w:p>
        </w:tc>
        <w:tc>
          <w:tcPr>
            <w:tcW w:w="570" w:type="dxa"/>
            <w:tcBorders>
              <w:bottom w:val="single" w:sz="2" w:space="0" w:color="231F20"/>
            </w:tcBorders>
            <w:tcMar>
              <w:bottom w:w="28" w:type="dxa"/>
            </w:tcM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673" w:type="dxa"/>
            <w:tcBorders>
              <w:bottom w:val="single" w:sz="2" w:space="0" w:color="231F2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79</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5"/>
                <w:sz w:val="12"/>
              </w:rPr>
              <w:t xml:space="preserve"> </w:t>
            </w:r>
            <w:r>
              <w:rPr>
                <w:rFonts w:ascii="Times New Roman;Times;serif" w:hAnsi="Times New Roman;Times;serif"/>
                <w:b/>
                <w:color w:val="231F20"/>
                <w:sz w:val="12"/>
              </w:rPr>
              <w:t>Application</w:t>
            </w:r>
            <w:r>
              <w:rPr>
                <w:rFonts w:ascii="Times NR MT Pro" w:hAnsi="Times NR MT Pro"/>
                <w:color w:val="231F20"/>
                <w:spacing w:val="-4"/>
                <w:sz w:val="12"/>
              </w:rPr>
              <w:t xml:space="preserve"> </w:t>
            </w:r>
            <w:r>
              <w:rPr>
                <w:rFonts w:ascii="Times New Roman;Times;serif" w:hAnsi="Times New Roman;Times;serif"/>
                <w:b/>
                <w:color w:val="231F20"/>
                <w:sz w:val="12"/>
              </w:rPr>
              <w:t>Software</w:t>
            </w:r>
            <w:r>
              <w:rPr>
                <w:rFonts w:ascii="Times NR MT Pro" w:hAnsi="Times NR MT Pro"/>
                <w:color w:val="231F20"/>
                <w:spacing w:val="-1"/>
                <w:sz w:val="12"/>
              </w:rPr>
              <w:t xml:space="preserve"> </w:t>
            </w:r>
            <w:r>
              <w:rPr>
                <w:rFonts w:ascii="Times NR MT Pro" w:hAnsi="Times NR MT Pro"/>
                <w:color w:val="231F20"/>
                <w:sz w:val="12"/>
              </w:rPr>
              <w:t>–</w:t>
            </w:r>
            <w:r>
              <w:rPr>
                <w:rFonts w:ascii="Times NR MT Pro" w:hAnsi="Times NR MT Pro"/>
                <w:color w:val="231F20"/>
                <w:spacing w:val="-2"/>
                <w:sz w:val="12"/>
              </w:rPr>
              <w:t xml:space="preserve"> </w:t>
            </w:r>
            <w:r>
              <w:rPr>
                <w:rFonts w:ascii="Times New Roman;Times;serif" w:hAnsi="Times New Roman;Times;serif"/>
                <w:b/>
                <w:color w:val="231F20"/>
                <w:sz w:val="12"/>
              </w:rPr>
              <w:t>0.01%*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3"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6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2"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55"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10"/>
              </w:rPr>
            </w:pPr>
            <w:r>
              <w:rPr>
                <w:color w:val="231F20"/>
                <w:spacing w:val="-10"/>
              </w:rPr>
              <w:t>​</w:t>
            </w:r>
          </w:p>
        </w:tc>
        <w:tc>
          <w:tcPr>
            <w:tcW w:w="166" w:type="dxa"/>
            <w:tcBorders/>
            <w:shd w:fill="CCEEFF" w:val="cle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c>
          <w:tcPr>
            <w:tcW w:w="570" w:type="dxa"/>
            <w:tcBorders>
              <w:top w:val="single" w:sz="2" w:space="0" w:color="231F20"/>
              <w:bottom w:val="single" w:sz="2" w:space="0" w:color="231F20"/>
            </w:tcBorders>
            <w:shd w:fill="CCEEFF" w:val="clear"/>
            <w:tcMar>
              <w:top w:w="28" w:type="dxa"/>
              <w:bottom w:w="28" w:type="dxa"/>
            </w:tcMar>
            <w:vAlign w:val="center"/>
          </w:tcPr>
          <w:p>
            <w:pPr>
              <w:pStyle w:val="TableContents"/>
              <w:bidi w:val="0"/>
              <w:spacing w:lineRule="auto" w:line="285" w:before="0" w:after="0"/>
              <w:ind w:left="0" w:right="0" w:hanging="0"/>
              <w:jc w:val="right"/>
              <w:rPr>
                <w:color w:val="231F20"/>
                <w:spacing w:val="-10"/>
              </w:rPr>
            </w:pPr>
            <w:r>
              <w:rPr>
                <w:color w:val="231F20"/>
                <w:spacing w:val="-10"/>
              </w:rPr>
              <w:t>—</w:t>
            </w:r>
          </w:p>
        </w:tc>
        <w:tc>
          <w:tcPr>
            <w:tcW w:w="2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673" w:type="dxa"/>
            <w:tcBorders>
              <w:top w:val="single" w:sz="2" w:space="0" w:color="231F20"/>
              <w:bottom w:val="single" w:sz="2" w:space="0" w:color="231F2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79</w:t>
            </w:r>
          </w:p>
        </w:tc>
      </w:tr>
      <w:tr>
        <w:trPr/>
        <w:tc>
          <w:tcPr>
            <w:tcW w:w="894"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pacing w:val="-2"/>
                <w:sz w:val="12"/>
              </w:rPr>
              <w:t>Healthcare</w:t>
            </w:r>
            <w:r>
              <w:rPr>
                <w:rFonts w:ascii="Times NR MT Pro" w:hAnsi="Times NR MT Pro"/>
                <w:color w:val="231F20"/>
                <w:spacing w:val="9"/>
                <w:sz w:val="12"/>
              </w:rPr>
              <w:t xml:space="preserve"> </w:t>
            </w:r>
            <w:r>
              <w:rPr>
                <w:rFonts w:ascii="Times New Roman;Times;serif" w:hAnsi="Times New Roman;Times;serif"/>
                <w:b/>
                <w:color w:val="231F20"/>
                <w:spacing w:val="-2"/>
                <w:sz w:val="12"/>
              </w:rPr>
              <w:t>Technology</w:t>
            </w:r>
          </w:p>
        </w:tc>
        <w:tc>
          <w:tcPr>
            <w:tcW w:w="346" w:type="dxa"/>
            <w:tcBorders/>
            <w:vAlign w:val="center"/>
          </w:tcPr>
          <w:p>
            <w:pPr>
              <w:pStyle w:val="TableContents"/>
              <w:bidi w:val="0"/>
              <w:spacing w:lineRule="auto" w:line="285" w:before="0" w:after="0"/>
              <w:ind w:left="0" w:right="0" w:hanging="0"/>
              <w:jc w:val="left"/>
              <w:rPr/>
            </w:pPr>
            <w:r>
              <w:rPr/>
              <w:t>​</w:t>
            </w:r>
          </w:p>
        </w:tc>
        <w:tc>
          <w:tcPr>
            <w:tcW w:w="6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73"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6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5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right"/>
              <w:rPr/>
            </w:pPr>
            <w:r>
              <w:rPr/>
              <w:t>​</w:t>
            </w:r>
          </w:p>
        </w:tc>
        <w:tc>
          <w:tcPr>
            <w:tcW w:w="570" w:type="dxa"/>
            <w:tcBorders>
              <w:top w:val="single" w:sz="2" w:space="0" w:color="231F20"/>
            </w:tcBorders>
            <w:tcMar>
              <w:top w:w="28" w:type="dxa"/>
            </w:tcMar>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right"/>
              <w:rPr/>
            </w:pPr>
            <w:r>
              <w:rPr/>
              <w:t>​</w:t>
            </w:r>
          </w:p>
        </w:tc>
        <w:tc>
          <w:tcPr>
            <w:tcW w:w="673" w:type="dxa"/>
            <w:tcBorders>
              <w:top w:val="single" w:sz="2" w:space="0" w:color="231F20"/>
            </w:tcBorders>
            <w:tcMar>
              <w:top w:w="28" w:type="dxa"/>
            </w:tcMar>
            <w:vAlign w:val="center"/>
          </w:tcPr>
          <w:p>
            <w:pPr>
              <w:pStyle w:val="TableContents"/>
              <w:bidi w:val="0"/>
              <w:spacing w:lineRule="auto" w:line="285" w:before="0" w:after="0"/>
              <w:ind w:left="0" w:right="0" w:hanging="0"/>
              <w:jc w:val="right"/>
              <w:rPr/>
            </w:pPr>
            <w:r>
              <w:rPr/>
              <w:t>​</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Gynesonics,</w:t>
            </w:r>
            <w:r>
              <w:rPr>
                <w:rFonts w:ascii="Times NR MT Pro" w:hAnsi="Times NR MT Pro"/>
                <w:color w:val="231F20"/>
                <w:spacing w:val="7"/>
                <w:sz w:val="12"/>
              </w:rPr>
              <w:t xml:space="preserve"> </w:t>
            </w:r>
            <w:r>
              <w:rPr>
                <w:rFonts w:ascii="Times New Roman;Times;serif" w:hAnsi="Times New Roman;Times;serif"/>
                <w:color w:val="231F20"/>
                <w:spacing w:val="-4"/>
                <w:sz w:val="12"/>
              </w:rPr>
              <w:t>Inc.</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88" w:type="dxa"/>
            <w:tcBorders/>
            <w:shd w:fill="CCEEFF" w:val="clear"/>
            <w:vAlign w:val="center"/>
          </w:tcPr>
          <w:p>
            <w:pPr>
              <w:pStyle w:val="TableContents"/>
              <w:bidi w:val="0"/>
              <w:spacing w:lineRule="auto" w:line="285" w:before="0" w:after="60"/>
              <w:ind w:left="0" w:right="0" w:hanging="0"/>
              <w:jc w:val="left"/>
              <w:rPr>
                <w:rFonts w:ascii="Times NR MT Pro" w:hAnsi="Times NR MT Pro"/>
                <w:sz w:val="12"/>
              </w:rPr>
            </w:pPr>
            <w:r>
              <w:rPr>
                <w:rFonts w:ascii="Times New Roman;Times;serif" w:hAnsi="Times New Roman;Times;serif"/>
                <w:color w:val="231F20"/>
                <w:spacing w:val="-2"/>
                <w:sz w:val="12"/>
              </w:rPr>
              <w:t>600</w:t>
            </w:r>
            <w:r>
              <w:rPr>
                <w:rFonts w:ascii="Times NR MT Pro" w:hAnsi="Times NR MT Pro"/>
                <w:color w:val="231F20"/>
                <w:sz w:val="12"/>
              </w:rPr>
              <w:t xml:space="preserve"> </w:t>
            </w:r>
            <w:r>
              <w:rPr>
                <w:rFonts w:ascii="Times New Roman;Times;serif" w:hAnsi="Times New Roman;Times;serif"/>
                <w:color w:val="231F20"/>
                <w:spacing w:val="-2"/>
                <w:sz w:val="12"/>
              </w:rPr>
              <w:t>Chesapeake</w:t>
            </w:r>
            <w:r>
              <w:rPr>
                <w:rFonts w:ascii="Times NR MT Pro" w:hAnsi="Times NR MT Pro"/>
                <w:color w:val="231F20"/>
                <w:spacing w:val="1"/>
                <w:sz w:val="12"/>
              </w:rPr>
              <w:t xml:space="preserve"> </w:t>
            </w:r>
            <w:r>
              <w:rPr>
                <w:rFonts w:ascii="Times New Roman;Times;serif" w:hAnsi="Times New Roman;Times;serif"/>
                <w:color w:val="231F20"/>
                <w:spacing w:val="-2"/>
                <w:sz w:val="12"/>
              </w:rPr>
              <w:t>Drive Redwood</w:t>
            </w:r>
            <w:r>
              <w:rPr>
                <w:rFonts w:ascii="Times NR MT Pro" w:hAnsi="Times NR MT Pro"/>
                <w:color w:val="231F20"/>
                <w:spacing w:val="-7"/>
                <w:sz w:val="12"/>
              </w:rPr>
              <w:t xml:space="preserve"> </w:t>
            </w:r>
            <w:r>
              <w:rPr>
                <w:rFonts w:ascii="Times New Roman;Times;serif" w:hAnsi="Times New Roman;Times;serif"/>
                <w:color w:val="231F20"/>
                <w:spacing w:val="-2"/>
                <w:sz w:val="12"/>
              </w:rPr>
              <w:t>City,</w:t>
            </w:r>
            <w:r>
              <w:rPr>
                <w:rFonts w:ascii="Times NR MT Pro" w:hAnsi="Times NR MT Pro"/>
                <w:color w:val="231F20"/>
                <w:spacing w:val="-6"/>
                <w:sz w:val="12"/>
              </w:rPr>
              <w:t xml:space="preserve"> </w:t>
            </w:r>
            <w:r>
              <w:rPr>
                <w:rFonts w:ascii="Times New Roman;Times;serif" w:hAnsi="Times New Roman;Times;serif"/>
                <w:color w:val="231F20"/>
                <w:spacing w:val="-2"/>
                <w:sz w:val="12"/>
              </w:rPr>
              <w:t>CA</w:t>
            </w:r>
            <w:r>
              <w:rPr>
                <w:rFonts w:ascii="Times NR MT Pro" w:hAnsi="Times NR MT Pro"/>
                <w:color w:val="231F20"/>
                <w:spacing w:val="-6"/>
                <w:sz w:val="12"/>
              </w:rPr>
              <w:t xml:space="preserve"> </w:t>
            </w:r>
            <w:r>
              <w:rPr>
                <w:rFonts w:ascii="Times New Roman;Times;serif" w:hAnsi="Times New Roman;Times;serif"/>
                <w:color w:val="231F20"/>
                <w:spacing w:val="-2"/>
                <w:sz w:val="12"/>
              </w:rPr>
              <w:t>94063</w:t>
            </w:r>
            <w:r>
              <w:rPr>
                <w:rFonts w:ascii="Times NR MT Pro" w:hAnsi="Times NR MT Pro"/>
                <w:color w:val="231F20"/>
                <w:spacing w:val="40"/>
                <w:sz w:val="12"/>
              </w:rPr>
              <w:t xml:space="preserve"> </w:t>
            </w:r>
            <w:r>
              <w:rPr>
                <w:rFonts w:ascii="Times New Roman;Times;serif" w:hAnsi="Times New Roman;Times;serif"/>
                <w:color w:val="231F20"/>
                <w:sz w:val="12"/>
              </w:rPr>
              <w:t>United</w:t>
            </w:r>
            <w:r>
              <w:rPr>
                <w:rFonts w:ascii="Times NR MT Pro" w:hAnsi="Times NR MT Pro"/>
                <w:color w:val="231F20"/>
                <w:spacing w:val="-9"/>
                <w:sz w:val="12"/>
              </w:rPr>
              <w:t xml:space="preserve"> </w:t>
            </w:r>
            <w:r>
              <w:rPr>
                <w:rFonts w:ascii="Times New Roman;Times;serif" w:hAnsi="Times New Roman;Times;serif"/>
                <w:color w:val="231F20"/>
                <w:sz w:val="12"/>
              </w:rPr>
              <w:t>States</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Warrants</w:t>
            </w:r>
          </w:p>
        </w:tc>
        <w:tc>
          <w:tcPr>
            <w:tcW w:w="40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Success</w:t>
            </w:r>
            <w:r>
              <w:rPr>
                <w:rFonts w:ascii="Times NR MT Pro" w:hAnsi="Times NR MT Pro"/>
                <w:color w:val="231F20"/>
                <w:spacing w:val="-6"/>
                <w:sz w:val="12"/>
              </w:rPr>
              <w:t xml:space="preserve"> </w:t>
            </w:r>
            <w:r>
              <w:rPr>
                <w:rFonts w:ascii="Times New Roman;Times;serif" w:hAnsi="Times New Roman;Times;serif"/>
                <w:color w:val="231F20"/>
                <w:spacing w:val="-5"/>
                <w:sz w:val="12"/>
              </w:rPr>
              <w:t>fee</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57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2"/>
                <w:sz w:val="12"/>
              </w:rPr>
            </w:pPr>
            <w:r>
              <w:rPr>
                <w:rFonts w:ascii="Times New Roman;Times;serif" w:hAnsi="Times New Roman;Times;serif"/>
                <w:color w:val="231F20"/>
                <w:spacing w:val="-2"/>
                <w:sz w:val="12"/>
              </w:rPr>
              <w:t>3/1/2030</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93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shd w:fill="CCEEFF" w:val="cle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570" w:type="dxa"/>
            <w:tcBorders>
              <w:bottom w:val="single" w:sz="2" w:space="0" w:color="231F2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313</w:t>
            </w:r>
          </w:p>
        </w:tc>
        <w:tc>
          <w:tcPr>
            <w:tcW w:w="2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673" w:type="dxa"/>
            <w:tcBorders>
              <w:bottom w:val="single" w:sz="2" w:space="0" w:color="231F2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448</w:t>
            </w:r>
          </w:p>
        </w:tc>
      </w:tr>
      <w:tr>
        <w:trPr/>
        <w:tc>
          <w:tcPr>
            <w:tcW w:w="894"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6"/>
                <w:sz w:val="12"/>
              </w:rPr>
              <w:t xml:space="preserve"> </w:t>
            </w:r>
            <w:r>
              <w:rPr>
                <w:rFonts w:ascii="Times New Roman;Times;serif" w:hAnsi="Times New Roman;Times;serif"/>
                <w:b/>
                <w:color w:val="231F20"/>
                <w:sz w:val="12"/>
              </w:rPr>
              <w:t>Healthcare</w:t>
            </w:r>
            <w:r>
              <w:rPr>
                <w:rFonts w:ascii="Times NR MT Pro" w:hAnsi="Times NR MT Pro"/>
                <w:color w:val="231F20"/>
                <w:spacing w:val="-5"/>
                <w:sz w:val="12"/>
              </w:rPr>
              <w:t xml:space="preserve"> </w:t>
            </w:r>
            <w:r>
              <w:rPr>
                <w:rFonts w:ascii="Times New Roman;Times;serif" w:hAnsi="Times New Roman;Times;serif"/>
                <w:b/>
                <w:color w:val="231F20"/>
                <w:sz w:val="12"/>
              </w:rPr>
              <w:t>Technology</w:t>
            </w:r>
            <w:r>
              <w:rPr>
                <w:rFonts w:ascii="Times NR MT Pro" w:hAnsi="Times NR MT Pro"/>
                <w:color w:val="231F20"/>
                <w:spacing w:val="-2"/>
                <w:sz w:val="12"/>
              </w:rPr>
              <w:t xml:space="preserve"> </w:t>
            </w:r>
            <w:r>
              <w:rPr>
                <w:rFonts w:ascii="Times NR MT Pro" w:hAnsi="Times NR MT Pro"/>
                <w:color w:val="231F20"/>
                <w:sz w:val="12"/>
              </w:rPr>
              <w:t>–</w:t>
            </w:r>
            <w:r>
              <w:rPr>
                <w:rFonts w:ascii="Times NR MT Pro" w:hAnsi="Times NR MT Pro"/>
                <w:color w:val="231F20"/>
                <w:spacing w:val="-3"/>
                <w:sz w:val="12"/>
              </w:rPr>
              <w:t xml:space="preserve"> </w:t>
            </w:r>
            <w:r>
              <w:rPr>
                <w:rFonts w:ascii="Times New Roman;Times;serif" w:hAnsi="Times New Roman;Times;serif"/>
                <w:b/>
                <w:color w:val="231F20"/>
                <w:sz w:val="12"/>
              </w:rPr>
              <w:t>0.09%*</w:t>
            </w:r>
          </w:p>
        </w:tc>
        <w:tc>
          <w:tcPr>
            <w:tcW w:w="346" w:type="dxa"/>
            <w:tcBorders/>
            <w:vAlign w:val="center"/>
          </w:tcPr>
          <w:p>
            <w:pPr>
              <w:pStyle w:val="TableContents"/>
              <w:bidi w:val="0"/>
              <w:spacing w:lineRule="auto" w:line="285" w:before="0" w:after="0"/>
              <w:ind w:left="0" w:right="0" w:hanging="0"/>
              <w:jc w:val="left"/>
              <w:rPr/>
            </w:pPr>
            <w:r>
              <w:rPr/>
              <w:t>​</w:t>
            </w:r>
          </w:p>
        </w:tc>
        <w:tc>
          <w:tcPr>
            <w:tcW w:w="6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73"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6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5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570" w:type="dxa"/>
            <w:tcBorders>
              <w:top w:val="single" w:sz="2" w:space="0" w:color="231F20"/>
              <w:bottom w:val="single" w:sz="2" w:space="0" w:color="231F2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313</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673" w:type="dxa"/>
            <w:tcBorders>
              <w:top w:val="single" w:sz="2" w:space="0" w:color="231F20"/>
              <w:bottom w:val="single" w:sz="2" w:space="0" w:color="231F2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448</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3"/>
                <w:sz w:val="12"/>
              </w:rPr>
              <w:t xml:space="preserve"> </w:t>
            </w:r>
            <w:r>
              <w:rPr>
                <w:rFonts w:ascii="Times New Roman;Times;serif" w:hAnsi="Times New Roman;Times;serif"/>
                <w:b/>
                <w:color w:val="231F20"/>
                <w:sz w:val="12"/>
              </w:rPr>
              <w:t>Warrants –</w:t>
            </w:r>
            <w:r>
              <w:rPr>
                <w:rFonts w:ascii="Times NR MT Pro" w:hAnsi="Times NR MT Pro"/>
                <w:color w:val="231F20"/>
                <w:spacing w:val="1"/>
                <w:sz w:val="12"/>
              </w:rPr>
              <w:t xml:space="preserve"> </w:t>
            </w:r>
            <w:r>
              <w:rPr>
                <w:rFonts w:ascii="Times New Roman;Times;serif" w:hAnsi="Times New Roman;Times;serif"/>
                <w:b/>
                <w:color w:val="231F20"/>
                <w:sz w:val="12"/>
              </w:rPr>
              <w:t>0.10%*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3"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6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2"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55"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shd w:fill="CCEEFF" w:val="cle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570" w:type="dxa"/>
            <w:tcBorders>
              <w:top w:val="single" w:sz="2" w:space="0" w:color="231F20"/>
              <w:bottom w:val="single" w:sz="2" w:space="0" w:color="231F2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313</w:t>
            </w:r>
          </w:p>
        </w:tc>
        <w:tc>
          <w:tcPr>
            <w:tcW w:w="2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673" w:type="dxa"/>
            <w:tcBorders>
              <w:top w:val="single" w:sz="2" w:space="0" w:color="231F20"/>
              <w:bottom w:val="single" w:sz="2" w:space="0" w:color="231F2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527</w:t>
            </w:r>
          </w:p>
        </w:tc>
      </w:tr>
      <w:tr>
        <w:trPr/>
        <w:tc>
          <w:tcPr>
            <w:tcW w:w="894"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4"/>
                <w:sz w:val="12"/>
              </w:rPr>
              <w:t xml:space="preserve"> </w:t>
            </w:r>
            <w:r>
              <w:rPr>
                <w:rFonts w:ascii="Times New Roman;Times;serif" w:hAnsi="Times New Roman;Times;serif"/>
                <w:b/>
                <w:color w:val="231F20"/>
                <w:sz w:val="12"/>
              </w:rPr>
              <w:t>Affiliate</w:t>
            </w:r>
            <w:r>
              <w:rPr>
                <w:rFonts w:ascii="Times NR MT Pro" w:hAnsi="Times NR MT Pro"/>
                <w:color w:val="231F20"/>
                <w:spacing w:val="-4"/>
                <w:sz w:val="12"/>
              </w:rPr>
              <w:t xml:space="preserve"> </w:t>
            </w:r>
            <w:r>
              <w:rPr>
                <w:rFonts w:ascii="Times New Roman;Times;serif" w:hAnsi="Times New Roman;Times;serif"/>
                <w:b/>
                <w:color w:val="231F20"/>
                <w:sz w:val="12"/>
              </w:rPr>
              <w:t>Investments –</w:t>
            </w:r>
            <w:r>
              <w:rPr>
                <w:rFonts w:ascii="Times NR MT Pro" w:hAnsi="Times NR MT Pro"/>
                <w:color w:val="231F20"/>
                <w:spacing w:val="-1"/>
                <w:sz w:val="12"/>
              </w:rPr>
              <w:t xml:space="preserve"> </w:t>
            </w:r>
            <w:r>
              <w:rPr>
                <w:rFonts w:ascii="Times New Roman;Times;serif" w:hAnsi="Times New Roman;Times;serif"/>
                <w:b/>
                <w:color w:val="231F20"/>
                <w:sz w:val="12"/>
              </w:rPr>
              <w:t>11.62%*</w:t>
            </w:r>
          </w:p>
        </w:tc>
        <w:tc>
          <w:tcPr>
            <w:tcW w:w="346" w:type="dxa"/>
            <w:tcBorders/>
            <w:vAlign w:val="center"/>
          </w:tcPr>
          <w:p>
            <w:pPr>
              <w:pStyle w:val="TableContents"/>
              <w:bidi w:val="0"/>
              <w:spacing w:lineRule="auto" w:line="285" w:before="0" w:after="0"/>
              <w:ind w:left="0" w:right="0" w:hanging="0"/>
              <w:jc w:val="left"/>
              <w:rPr/>
            </w:pPr>
            <w:r>
              <w:rPr/>
              <w:t>​</w:t>
            </w:r>
          </w:p>
        </w:tc>
        <w:tc>
          <w:tcPr>
            <w:tcW w:w="6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73"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6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5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top w:val="single" w:sz="2" w:space="0" w:color="231F20"/>
              <w:bottom w:val="single" w:sz="2" w:space="0" w:color="231F2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59,111</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673" w:type="dxa"/>
            <w:tcBorders>
              <w:top w:val="single" w:sz="2" w:space="0" w:color="231F20"/>
              <w:bottom w:val="single" w:sz="2" w:space="0" w:color="231F2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58,969</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pacing w:val="-2"/>
                <w:sz w:val="12"/>
              </w:rPr>
              <w:t>Control</w:t>
            </w:r>
            <w:r>
              <w:rPr>
                <w:rFonts w:ascii="Times NR MT Pro" w:hAnsi="Times NR MT Pro"/>
                <w:color w:val="231F20"/>
                <w:spacing w:val="4"/>
                <w:sz w:val="12"/>
              </w:rPr>
              <w:t xml:space="preserve"> </w:t>
            </w:r>
            <w:r>
              <w:rPr>
                <w:rFonts w:ascii="Times New Roman;Times;serif" w:hAnsi="Times New Roman;Times;serif"/>
                <w:b/>
                <w:color w:val="231F20"/>
                <w:spacing w:val="-2"/>
                <w:sz w:val="12"/>
              </w:rPr>
              <w:t>Investments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3"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6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2"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55"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right"/>
              <w:rPr/>
            </w:pPr>
            <w:r>
              <w:rPr/>
              <w:t>​</w:t>
            </w:r>
          </w:p>
        </w:tc>
        <w:tc>
          <w:tcPr>
            <w:tcW w:w="570" w:type="dxa"/>
            <w:tcBorders>
              <w:top w:val="single" w:sz="2" w:space="0" w:color="231F20"/>
            </w:tcBorders>
            <w:shd w:fill="CCEEFF" w:val="clear"/>
            <w:tcMar>
              <w:top w:w="28" w:type="dxa"/>
            </w:tcMar>
            <w:vAlign w:val="center"/>
          </w:tcPr>
          <w:p>
            <w:pPr>
              <w:pStyle w:val="TableContents"/>
              <w:bidi w:val="0"/>
              <w:spacing w:lineRule="auto" w:line="285" w:before="0" w:after="0"/>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right"/>
              <w:rPr/>
            </w:pPr>
            <w:r>
              <w:rPr/>
              <w:t>​</w:t>
            </w:r>
          </w:p>
        </w:tc>
        <w:tc>
          <w:tcPr>
            <w:tcW w:w="673" w:type="dxa"/>
            <w:tcBorders>
              <w:top w:val="single" w:sz="2" w:space="0" w:color="231F20"/>
            </w:tcBorders>
            <w:shd w:fill="CCEEFF" w:val="clear"/>
            <w:tcMar>
              <w:top w:w="28" w:type="dxa"/>
            </w:tcMar>
            <w:vAlign w:val="center"/>
          </w:tcPr>
          <w:p>
            <w:pPr>
              <w:pStyle w:val="TableContents"/>
              <w:bidi w:val="0"/>
              <w:spacing w:lineRule="auto" w:line="285" w:before="0" w:after="0"/>
              <w:ind w:left="0" w:right="0" w:hanging="0"/>
              <w:jc w:val="right"/>
              <w:rPr/>
            </w:pPr>
            <w:r>
              <w:rPr/>
              <w:t>​</w:t>
            </w:r>
          </w:p>
        </w:tc>
      </w:tr>
      <w:tr>
        <w:trPr/>
        <w:tc>
          <w:tcPr>
            <w:tcW w:w="894"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Equity</w:t>
            </w:r>
            <w:r>
              <w:rPr>
                <w:rFonts w:ascii="Times NR MT Pro" w:hAnsi="Times NR MT Pro"/>
                <w:color w:val="231F20"/>
                <w:spacing w:val="-5"/>
                <w:sz w:val="12"/>
              </w:rPr>
              <w:t xml:space="preserve"> </w:t>
            </w:r>
            <w:r>
              <w:rPr>
                <w:rFonts w:ascii="Times New Roman;Times;serif" w:hAnsi="Times New Roman;Times;serif"/>
                <w:b/>
                <w:color w:val="231F20"/>
                <w:spacing w:val="-2"/>
                <w:sz w:val="12"/>
              </w:rPr>
              <w:t>Investments</w:t>
            </w:r>
          </w:p>
        </w:tc>
        <w:tc>
          <w:tcPr>
            <w:tcW w:w="346" w:type="dxa"/>
            <w:tcBorders/>
            <w:vAlign w:val="center"/>
          </w:tcPr>
          <w:p>
            <w:pPr>
              <w:pStyle w:val="TableContents"/>
              <w:bidi w:val="0"/>
              <w:spacing w:lineRule="auto" w:line="285" w:before="0" w:after="0"/>
              <w:ind w:left="0" w:right="0" w:hanging="0"/>
              <w:jc w:val="left"/>
              <w:rPr/>
            </w:pPr>
            <w:r>
              <w:rPr/>
              <w:t>​</w:t>
            </w:r>
          </w:p>
        </w:tc>
        <w:tc>
          <w:tcPr>
            <w:tcW w:w="6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73"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6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5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right"/>
              <w:rPr/>
            </w:pPr>
            <w:r>
              <w:rPr/>
              <w:t>​</w:t>
            </w:r>
          </w:p>
        </w:tc>
        <w:tc>
          <w:tcPr>
            <w:tcW w:w="570"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right"/>
              <w:rPr/>
            </w:pPr>
            <w:r>
              <w:rPr/>
              <w:t>​</w:t>
            </w:r>
          </w:p>
        </w:tc>
        <w:tc>
          <w:tcPr>
            <w:tcW w:w="673" w:type="dxa"/>
            <w:tcBorders/>
            <w:vAlign w:val="center"/>
          </w:tcPr>
          <w:p>
            <w:pPr>
              <w:pStyle w:val="TableContents"/>
              <w:bidi w:val="0"/>
              <w:spacing w:lineRule="auto" w:line="285" w:before="0" w:after="0"/>
              <w:ind w:left="0" w:right="0" w:hanging="0"/>
              <w:jc w:val="right"/>
              <w:rPr/>
            </w:pPr>
            <w:r>
              <w:rPr/>
              <w:t>​</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Data</w:t>
            </w:r>
            <w:r>
              <w:rPr>
                <w:rFonts w:ascii="Times NR MT Pro" w:hAnsi="Times NR MT Pro"/>
                <w:color w:val="231F20"/>
                <w:spacing w:val="-7"/>
                <w:sz w:val="12"/>
              </w:rPr>
              <w:t xml:space="preserve"> </w:t>
            </w:r>
            <w:r>
              <w:rPr>
                <w:rFonts w:ascii="Times New Roman;Times;serif" w:hAnsi="Times New Roman;Times;serif"/>
                <w:b/>
                <w:color w:val="231F20"/>
                <w:sz w:val="12"/>
              </w:rPr>
              <w:t>Processing</w:t>
            </w:r>
            <w:r>
              <w:rPr>
                <w:rFonts w:ascii="Times NR MT Pro" w:hAnsi="Times NR MT Pro"/>
                <w:color w:val="231F20"/>
                <w:spacing w:val="-7"/>
                <w:sz w:val="12"/>
              </w:rPr>
              <w:t xml:space="preserve"> </w:t>
            </w:r>
            <w:r>
              <w:rPr>
                <w:rFonts w:ascii="Times New Roman;Times;serif" w:hAnsi="Times New Roman;Times;serif"/>
                <w:b/>
                <w:color w:val="231F20"/>
                <w:sz w:val="12"/>
              </w:rPr>
              <w:t>&amp;</w:t>
            </w:r>
            <w:r>
              <w:rPr>
                <w:rFonts w:ascii="Times NR MT Pro" w:hAnsi="Times NR MT Pro"/>
                <w:color w:val="231F20"/>
                <w:spacing w:val="-7"/>
                <w:sz w:val="12"/>
              </w:rPr>
              <w:t xml:space="preserve"> </w:t>
            </w:r>
            <w:r>
              <w:rPr>
                <w:rFonts w:ascii="Times New Roman;Times;serif" w:hAnsi="Times New Roman;Times;serif"/>
                <w:b/>
                <w:color w:val="231F20"/>
                <w:sz w:val="12"/>
              </w:rPr>
              <w:t>Outsourced</w:t>
            </w:r>
            <w:r>
              <w:rPr>
                <w:rFonts w:ascii="Times NR MT Pro" w:hAnsi="Times NR MT Pro"/>
                <w:color w:val="231F20"/>
                <w:spacing w:val="-6"/>
                <w:sz w:val="12"/>
              </w:rPr>
              <w:t xml:space="preserve"> </w:t>
            </w:r>
            <w:r>
              <w:rPr>
                <w:rFonts w:ascii="Times New Roman;Times;serif" w:hAnsi="Times New Roman;Times;serif"/>
                <w:b/>
                <w:color w:val="231F20"/>
                <w:spacing w:val="-2"/>
                <w:sz w:val="12"/>
              </w:rPr>
              <w:t>Services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3"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6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2"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55"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right"/>
              <w:rPr/>
            </w:pPr>
            <w:r>
              <w:rPr/>
              <w:t>​</w:t>
            </w:r>
          </w:p>
        </w:tc>
        <w:tc>
          <w:tcPr>
            <w:tcW w:w="570" w:type="dxa"/>
            <w:tcBorders/>
            <w:shd w:fill="CCEEFF" w:val="clear"/>
            <w:vAlign w:val="center"/>
          </w:tcPr>
          <w:p>
            <w:pPr>
              <w:pStyle w:val="TableContents"/>
              <w:bidi w:val="0"/>
              <w:spacing w:lineRule="auto" w:line="285" w:before="0" w:after="0"/>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right"/>
              <w:rPr/>
            </w:pPr>
            <w:r>
              <w:rPr/>
              <w:t>​</w:t>
            </w:r>
          </w:p>
        </w:tc>
        <w:tc>
          <w:tcPr>
            <w:tcW w:w="673" w:type="dxa"/>
            <w:tcBorders/>
            <w:shd w:fill="CCEEFF" w:val="clear"/>
            <w:vAlign w:val="center"/>
          </w:tcPr>
          <w:p>
            <w:pPr>
              <w:pStyle w:val="TableContents"/>
              <w:bidi w:val="0"/>
              <w:spacing w:lineRule="auto" w:line="285" w:before="0" w:after="0"/>
              <w:ind w:left="0" w:right="0" w:hanging="0"/>
              <w:jc w:val="right"/>
              <w:rPr/>
            </w:pPr>
            <w:r>
              <w:rPr/>
              <w:t>​</w:t>
            </w:r>
          </w:p>
        </w:tc>
      </w:tr>
      <w:tr>
        <w:trPr/>
        <w:tc>
          <w:tcPr>
            <w:tcW w:w="894"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Pivot3,</w:t>
            </w:r>
            <w:r>
              <w:rPr>
                <w:rFonts w:ascii="Times NR MT Pro" w:hAnsi="Times NR MT Pro"/>
                <w:color w:val="231F20"/>
                <w:spacing w:val="3"/>
                <w:sz w:val="12"/>
              </w:rPr>
              <w:t xml:space="preserve"> </w:t>
            </w:r>
            <w:r>
              <w:rPr>
                <w:rFonts w:ascii="Times New Roman;Times;serif" w:hAnsi="Times New Roman;Times;serif"/>
                <w:color w:val="231F20"/>
                <w:spacing w:val="-4"/>
                <w:sz w:val="12"/>
              </w:rPr>
              <w:t>Inc.</w:t>
            </w:r>
          </w:p>
        </w:tc>
        <w:tc>
          <w:tcPr>
            <w:tcW w:w="34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688" w:type="dxa"/>
            <w:tcBorders/>
            <w:vAlign w:val="center"/>
          </w:tcPr>
          <w:p>
            <w:pPr>
              <w:pStyle w:val="TableContents"/>
              <w:bidi w:val="0"/>
              <w:spacing w:lineRule="auto" w:line="285" w:before="0" w:after="60"/>
              <w:ind w:left="0" w:right="0" w:hanging="0"/>
              <w:jc w:val="left"/>
              <w:rPr>
                <w:rFonts w:ascii="Times NR MT Pro" w:hAnsi="Times NR MT Pro"/>
                <w:sz w:val="12"/>
              </w:rPr>
            </w:pPr>
            <w:r>
              <w:rPr>
                <w:rFonts w:ascii="Times New Roman;Times;serif" w:hAnsi="Times New Roman;Times;serif"/>
                <w:color w:val="231F20"/>
                <w:sz w:val="12"/>
              </w:rPr>
              <w:t>205</w:t>
            </w:r>
            <w:r>
              <w:rPr>
                <w:rFonts w:ascii="Times NR MT Pro" w:hAnsi="Times NR MT Pro"/>
                <w:color w:val="231F20"/>
                <w:spacing w:val="-5"/>
                <w:sz w:val="12"/>
              </w:rPr>
              <w:t xml:space="preserve"> </w:t>
            </w:r>
            <w:r>
              <w:rPr>
                <w:rFonts w:ascii="Times New Roman;Times;serif" w:hAnsi="Times New Roman;Times;serif"/>
                <w:color w:val="231F20"/>
                <w:sz w:val="12"/>
              </w:rPr>
              <w:t>North</w:t>
            </w:r>
            <w:r>
              <w:rPr>
                <w:rFonts w:ascii="Times NR MT Pro" w:hAnsi="Times NR MT Pro"/>
                <w:color w:val="231F20"/>
                <w:spacing w:val="-5"/>
                <w:sz w:val="12"/>
              </w:rPr>
              <w:t xml:space="preserve"> </w:t>
            </w:r>
            <w:r>
              <w:rPr>
                <w:rFonts w:ascii="Times New Roman;Times;serif" w:hAnsi="Times New Roman;Times;serif"/>
                <w:color w:val="231F20"/>
                <w:sz w:val="12"/>
              </w:rPr>
              <w:t>Michigan</w:t>
            </w:r>
            <w:r>
              <w:rPr>
                <w:rFonts w:ascii="Times NR MT Pro" w:hAnsi="Times NR MT Pro"/>
                <w:color w:val="231F20"/>
                <w:spacing w:val="-4"/>
                <w:sz w:val="12"/>
              </w:rPr>
              <w:t xml:space="preserve"> </w:t>
            </w:r>
            <w:r>
              <w:rPr>
                <w:rFonts w:ascii="Times New Roman;Times;serif" w:hAnsi="Times New Roman;Times;serif"/>
                <w:color w:val="231F20"/>
                <w:spacing w:val="-5"/>
                <w:sz w:val="12"/>
              </w:rPr>
              <w:t xml:space="preserve">Ave </w:t>
            </w:r>
            <w:r>
              <w:rPr>
                <w:rFonts w:ascii="Times New Roman;Times;serif" w:hAnsi="Times New Roman;Times;serif"/>
                <w:color w:val="231F20"/>
                <w:sz w:val="12"/>
              </w:rPr>
              <w:t>Suite</w:t>
            </w:r>
            <w:r>
              <w:rPr>
                <w:rFonts w:ascii="Times NR MT Pro" w:hAnsi="Times NR MT Pro"/>
                <w:color w:val="231F20"/>
                <w:spacing w:val="-4"/>
                <w:sz w:val="12"/>
              </w:rPr>
              <w:t xml:space="preserve"> </w:t>
            </w:r>
            <w:r>
              <w:rPr>
                <w:rFonts w:ascii="Times New Roman;Times;serif" w:hAnsi="Times New Roman;Times;serif"/>
                <w:color w:val="231F20"/>
                <w:sz w:val="12"/>
              </w:rPr>
              <w:t>4200</w:t>
            </w:r>
            <w:r>
              <w:rPr>
                <w:rFonts w:ascii="Times NR MT Pro" w:hAnsi="Times NR MT Pro"/>
                <w:color w:val="231F20"/>
                <w:spacing w:val="-4"/>
                <w:sz w:val="12"/>
              </w:rPr>
              <w:t xml:space="preserve"> </w:t>
            </w:r>
            <w:r>
              <w:rPr>
                <w:rFonts w:ascii="Times New Roman;Times;serif" w:hAnsi="Times New Roman;Times;serif"/>
                <w:color w:val="231F20"/>
                <w:spacing w:val="-2"/>
                <w:sz w:val="12"/>
              </w:rPr>
              <w:t xml:space="preserve">Chicago </w:t>
            </w:r>
            <w:r>
              <w:rPr>
                <w:rFonts w:ascii="Times New Roman;Times;serif" w:hAnsi="Times New Roman;Times;serif"/>
                <w:color w:val="231F20"/>
                <w:sz w:val="12"/>
              </w:rPr>
              <w:t>IL</w:t>
            </w:r>
            <w:r>
              <w:rPr>
                <w:rFonts w:ascii="Times NR MT Pro" w:hAnsi="Times NR MT Pro"/>
                <w:color w:val="231F20"/>
                <w:spacing w:val="-4"/>
                <w:sz w:val="12"/>
              </w:rPr>
              <w:t xml:space="preserve"> </w:t>
            </w:r>
            <w:r>
              <w:rPr>
                <w:rFonts w:ascii="Times New Roman;Times;serif" w:hAnsi="Times New Roman;Times;serif"/>
                <w:color w:val="231F20"/>
                <w:sz w:val="12"/>
              </w:rPr>
              <w:t>60601</w:t>
            </w:r>
            <w:r>
              <w:rPr>
                <w:rFonts w:ascii="Times NR MT Pro" w:hAnsi="Times NR MT Pro"/>
                <w:color w:val="231F20"/>
                <w:spacing w:val="-4"/>
                <w:sz w:val="12"/>
              </w:rPr>
              <w:t xml:space="preserve"> </w:t>
            </w:r>
            <w:r>
              <w:rPr>
                <w:rFonts w:ascii="Times New Roman;Times;serif" w:hAnsi="Times New Roman;Times;serif"/>
                <w:color w:val="231F20"/>
                <w:sz w:val="12"/>
              </w:rPr>
              <w:t>United</w:t>
            </w:r>
            <w:r>
              <w:rPr>
                <w:rFonts w:ascii="Times NR MT Pro" w:hAnsi="Times NR MT Pro"/>
                <w:color w:val="231F20"/>
                <w:spacing w:val="-4"/>
                <w:sz w:val="12"/>
              </w:rPr>
              <w:t xml:space="preserve"> </w:t>
            </w:r>
            <w:r>
              <w:rPr>
                <w:rFonts w:ascii="Times New Roman;Times;serif" w:hAnsi="Times New Roman;Times;serif"/>
                <w:color w:val="231F20"/>
                <w:spacing w:val="-2"/>
                <w:sz w:val="12"/>
              </w:rPr>
              <w:t>States</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Equity</w:t>
            </w:r>
          </w:p>
        </w:tc>
        <w:tc>
          <w:tcPr>
            <w:tcW w:w="40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Equity</w:t>
            </w:r>
            <w:r>
              <w:rPr>
                <w:rFonts w:ascii="Times NR MT Pro" w:hAnsi="Times NR MT Pro"/>
                <w:color w:val="231F20"/>
                <w:spacing w:val="-5"/>
                <w:sz w:val="12"/>
              </w:rPr>
              <w:t xml:space="preserve"> </w:t>
            </w:r>
            <w:r>
              <w:rPr>
                <w:rFonts w:ascii="Times New Roman;Times;serif" w:hAnsi="Times New Roman;Times;serif"/>
                <w:color w:val="231F20"/>
                <w:spacing w:val="-2"/>
                <w:sz w:val="12"/>
              </w:rPr>
              <w:t>Interest</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2"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0" w:type="dxa"/>
            <w:tcBorders/>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931" w:type="dxa"/>
            <w:tcBorders/>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166" w:type="dxa"/>
            <w:tcBorders/>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570" w:type="dxa"/>
            <w:tcBorders>
              <w:bottom w:val="single" w:sz="2" w:space="0" w:color="231F2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950</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673" w:type="dxa"/>
            <w:tcBorders>
              <w:bottom w:val="single" w:sz="2" w:space="0" w:color="231F2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1,198</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8"/>
                <w:sz w:val="12"/>
              </w:rPr>
              <w:t xml:space="preserve"> </w:t>
            </w:r>
            <w:r>
              <w:rPr>
                <w:rFonts w:ascii="Times New Roman;Times;serif" w:hAnsi="Times New Roman;Times;serif"/>
                <w:b/>
                <w:color w:val="231F20"/>
                <w:sz w:val="12"/>
              </w:rPr>
              <w:t>Data</w:t>
            </w:r>
            <w:r>
              <w:rPr>
                <w:rFonts w:ascii="Times NR MT Pro" w:hAnsi="Times NR MT Pro"/>
                <w:color w:val="231F20"/>
                <w:spacing w:val="-8"/>
                <w:sz w:val="12"/>
              </w:rPr>
              <w:t xml:space="preserve"> </w:t>
            </w:r>
            <w:r>
              <w:rPr>
                <w:rFonts w:ascii="Times New Roman;Times;serif" w:hAnsi="Times New Roman;Times;serif"/>
                <w:b/>
                <w:color w:val="231F20"/>
                <w:sz w:val="12"/>
              </w:rPr>
              <w:t>Processing</w:t>
            </w:r>
            <w:r>
              <w:rPr>
                <w:rFonts w:ascii="Times NR MT Pro" w:hAnsi="Times NR MT Pro"/>
                <w:color w:val="231F20"/>
                <w:spacing w:val="-8"/>
                <w:sz w:val="12"/>
              </w:rPr>
              <w:t xml:space="preserve"> </w:t>
            </w:r>
            <w:r>
              <w:rPr>
                <w:rFonts w:ascii="Times New Roman;Times;serif" w:hAnsi="Times New Roman;Times;serif"/>
                <w:b/>
                <w:color w:val="231F20"/>
                <w:sz w:val="12"/>
              </w:rPr>
              <w:t>&amp;</w:t>
            </w:r>
            <w:r>
              <w:rPr>
                <w:rFonts w:ascii="Times NR MT Pro" w:hAnsi="Times NR MT Pro"/>
                <w:color w:val="231F20"/>
                <w:spacing w:val="-8"/>
                <w:sz w:val="12"/>
              </w:rPr>
              <w:t xml:space="preserve"> </w:t>
            </w:r>
            <w:r>
              <w:rPr>
                <w:rFonts w:ascii="Times New Roman;Times;serif" w:hAnsi="Times New Roman;Times;serif"/>
                <w:b/>
                <w:color w:val="231F20"/>
                <w:spacing w:val="-2"/>
                <w:sz w:val="12"/>
              </w:rPr>
              <w:t xml:space="preserve">Outsourced </w:t>
            </w:r>
            <w:r>
              <w:rPr>
                <w:rFonts w:ascii="Times New Roman;Times;serif" w:hAnsi="Times New Roman;Times;serif"/>
                <w:b/>
                <w:color w:val="231F20"/>
                <w:sz w:val="12"/>
              </w:rPr>
              <w:t>Services</w:t>
            </w:r>
            <w:r>
              <w:rPr>
                <w:rFonts w:ascii="Times NR MT Pro" w:hAnsi="Times NR MT Pro"/>
                <w:color w:val="231F20"/>
                <w:spacing w:val="1"/>
                <w:sz w:val="12"/>
              </w:rPr>
              <w:t xml:space="preserve"> </w:t>
            </w:r>
            <w:r>
              <w:rPr>
                <w:rFonts w:ascii="Times NR MT Pro" w:hAnsi="Times NR MT Pro"/>
                <w:color w:val="231F20"/>
                <w:sz w:val="12"/>
              </w:rPr>
              <w:t>–</w:t>
            </w:r>
            <w:r>
              <w:rPr>
                <w:rFonts w:ascii="Times NR MT Pro" w:hAnsi="Times NR MT Pro"/>
                <w:color w:val="231F20"/>
                <w:spacing w:val="1"/>
                <w:sz w:val="12"/>
              </w:rPr>
              <w:t xml:space="preserve"> </w:t>
            </w:r>
            <w:r>
              <w:rPr>
                <w:rFonts w:ascii="Times New Roman;Times;serif" w:hAnsi="Times New Roman;Times;serif"/>
                <w:b/>
                <w:color w:val="231F20"/>
                <w:sz w:val="12"/>
              </w:rPr>
              <w:t>0.24%*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73"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6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2"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55"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66" w:type="dxa"/>
            <w:tcBorders/>
            <w:shd w:fill="CCEEFF" w:val="clear"/>
            <w:vAlign w:val="center"/>
          </w:tcPr>
          <w:p>
            <w:pPr>
              <w:pStyle w:val="TableContents"/>
              <w:bidi w:val="0"/>
              <w:spacing w:lineRule="auto" w:line="285" w:before="0" w:after="0"/>
              <w:ind w:left="0" w:right="0" w:hanging="0"/>
              <w:jc w:val="right"/>
              <w:rPr/>
            </w:pPr>
            <w:r>
              <w:rPr/>
              <w:t>​</w:t>
            </w:r>
          </w:p>
        </w:tc>
        <w:tc>
          <w:tcPr>
            <w:tcW w:w="570" w:type="dxa"/>
            <w:tcBorders>
              <w:top w:val="single" w:sz="2" w:space="0" w:color="231F20"/>
              <w:bottom w:val="single" w:sz="2" w:space="0" w:color="231F20"/>
            </w:tcBorders>
            <w:shd w:fill="CCEEFF" w:val="clear"/>
            <w:tcMar>
              <w:top w:w="28" w:type="dxa"/>
              <w:bottom w:w="28" w:type="dxa"/>
            </w:tcMar>
            <w:vAlign w:val="center"/>
          </w:tcPr>
          <w:p>
            <w:pPr>
              <w:pStyle w:val="TableContents"/>
              <w:bidi w:val="0"/>
              <w:spacing w:lineRule="auto" w:line="285" w:before="0" w:after="0"/>
              <w:ind w:left="0" w:right="58" w:hanging="0"/>
              <w:jc w:val="right"/>
              <w:rPr/>
            </w:pPr>
            <w:r>
              <w:rPr/>
              <w:t>​</w:t>
            </w:r>
          </w:p>
          <w:p>
            <w:pPr>
              <w:pStyle w:val="TableContents"/>
              <w:bidi w:val="0"/>
              <w:spacing w:lineRule="auto" w:line="285" w:before="0" w:after="0"/>
              <w:ind w:left="0" w:right="0" w:hanging="0"/>
              <w:jc w:val="right"/>
              <w:rPr/>
            </w:pPr>
            <w:r>
              <w:rPr>
                <w:color w:val="231F20"/>
                <w:spacing w:val="-5"/>
              </w:rPr>
              <w:t>​</w:t>
            </w:r>
            <w:r>
              <w:rPr>
                <w:rFonts w:ascii="Times New Roman;Times;serif" w:hAnsi="Times New Roman;Times;serif"/>
                <w:color w:val="231F20"/>
                <w:spacing w:val="-5"/>
                <w:sz w:val="12"/>
              </w:rPr>
              <w:br/>
            </w:r>
            <w:r>
              <w:rPr>
                <w:rFonts w:ascii="Times New Roman;Times;serif" w:hAnsi="Times New Roman;Times;serif"/>
                <w:sz w:val="12"/>
              </w:rPr>
              <w:t>950</w:t>
            </w:r>
          </w:p>
        </w:tc>
        <w:tc>
          <w:tcPr>
            <w:tcW w:w="2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73" w:type="dxa"/>
            <w:tcBorders>
              <w:top w:val="single" w:sz="2" w:space="0" w:color="231F20"/>
              <w:bottom w:val="single" w:sz="2" w:space="0" w:color="231F20"/>
            </w:tcBorders>
            <w:shd w:fill="CCEEFF" w:val="clear"/>
            <w:tcMar>
              <w:top w:w="28" w:type="dxa"/>
              <w:bottom w:w="28" w:type="dxa"/>
            </w:tcMar>
            <w:vAlign w:val="center"/>
          </w:tcPr>
          <w:p>
            <w:pPr>
              <w:pStyle w:val="TableContents"/>
              <w:bidi w:val="0"/>
              <w:spacing w:lineRule="auto" w:line="285" w:before="0" w:after="0"/>
              <w:ind w:left="0" w:right="58" w:hanging="0"/>
              <w:jc w:val="right"/>
              <w:rPr/>
            </w:pPr>
            <w:r>
              <w:rPr/>
              <w:t>​</w:t>
            </w:r>
          </w:p>
          <w:p>
            <w:pPr>
              <w:pStyle w:val="TableContents"/>
              <w:bidi w:val="0"/>
              <w:spacing w:lineRule="auto" w:line="285" w:before="0" w:after="0"/>
              <w:ind w:left="0" w:right="0" w:hanging="0"/>
              <w:jc w:val="right"/>
              <w:rPr/>
            </w:pPr>
            <w:r>
              <w:rPr>
                <w:color w:val="231F20"/>
                <w:spacing w:val="-2"/>
              </w:rPr>
              <w:t>​</w:t>
            </w:r>
            <w:r>
              <w:rPr>
                <w:rFonts w:ascii="Times New Roman;Times;serif" w:hAnsi="Times New Roman;Times;serif"/>
                <w:color w:val="231F20"/>
                <w:spacing w:val="-2"/>
                <w:sz w:val="12"/>
              </w:rPr>
              <w:br/>
              <w:t>1,198</w:t>
            </w:r>
          </w:p>
        </w:tc>
      </w:tr>
      <w:tr>
        <w:trPr/>
        <w:tc>
          <w:tcPr>
            <w:tcW w:w="894"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Multi-Sector</w:t>
            </w:r>
            <w:r>
              <w:rPr>
                <w:rFonts w:ascii="Times NR MT Pro" w:hAnsi="Times NR MT Pro"/>
                <w:color w:val="231F20"/>
                <w:spacing w:val="-9"/>
                <w:sz w:val="12"/>
              </w:rPr>
              <w:t xml:space="preserve"> </w:t>
            </w:r>
            <w:r>
              <w:rPr>
                <w:rFonts w:ascii="Times New Roman;Times;serif" w:hAnsi="Times New Roman;Times;serif"/>
                <w:b/>
                <w:color w:val="231F20"/>
                <w:spacing w:val="-2"/>
                <w:sz w:val="12"/>
              </w:rPr>
              <w:t>Holdings</w:t>
            </w:r>
          </w:p>
        </w:tc>
        <w:tc>
          <w:tcPr>
            <w:tcW w:w="346" w:type="dxa"/>
            <w:tcBorders/>
            <w:vAlign w:val="center"/>
          </w:tcPr>
          <w:p>
            <w:pPr>
              <w:pStyle w:val="TableContents"/>
              <w:bidi w:val="0"/>
              <w:spacing w:lineRule="auto" w:line="285" w:before="0" w:after="0"/>
              <w:ind w:left="0" w:right="0" w:hanging="0"/>
              <w:jc w:val="left"/>
              <w:rPr/>
            </w:pPr>
            <w:r>
              <w:rPr/>
              <w:t>​</w:t>
            </w:r>
          </w:p>
        </w:tc>
        <w:tc>
          <w:tcPr>
            <w:tcW w:w="6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73"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6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5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right"/>
              <w:rPr/>
            </w:pPr>
            <w:r>
              <w:rPr/>
              <w:t>​</w:t>
            </w:r>
          </w:p>
        </w:tc>
        <w:tc>
          <w:tcPr>
            <w:tcW w:w="570" w:type="dxa"/>
            <w:tcBorders>
              <w:top w:val="single" w:sz="2" w:space="0" w:color="231F20"/>
            </w:tcBorders>
            <w:tcMar>
              <w:top w:w="28" w:type="dxa"/>
            </w:tcMar>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66" w:type="dxa"/>
            <w:tcBorders/>
            <w:vAlign w:val="center"/>
          </w:tcPr>
          <w:p>
            <w:pPr>
              <w:pStyle w:val="TableContents"/>
              <w:bidi w:val="0"/>
              <w:spacing w:lineRule="auto" w:line="285" w:before="0" w:after="0"/>
              <w:ind w:left="0" w:right="0" w:hanging="0"/>
              <w:jc w:val="right"/>
              <w:rPr/>
            </w:pPr>
            <w:r>
              <w:rPr/>
              <w:t>​</w:t>
            </w:r>
          </w:p>
        </w:tc>
        <w:tc>
          <w:tcPr>
            <w:tcW w:w="673" w:type="dxa"/>
            <w:tcBorders>
              <w:top w:val="single" w:sz="2" w:space="0" w:color="231F20"/>
            </w:tcBorders>
            <w:tcMar>
              <w:top w:w="28" w:type="dxa"/>
            </w:tcMar>
            <w:vAlign w:val="center"/>
          </w:tcPr>
          <w:p>
            <w:pPr>
              <w:pStyle w:val="TableContents"/>
              <w:bidi w:val="0"/>
              <w:spacing w:lineRule="auto" w:line="285" w:before="0" w:after="0"/>
              <w:ind w:left="0" w:right="0" w:hanging="0"/>
              <w:jc w:val="right"/>
              <w:rPr/>
            </w:pPr>
            <w:r>
              <w:rPr/>
              <w:t>​</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pacing w:val="-2"/>
                <w:sz w:val="12"/>
              </w:rPr>
              <w:t>Runway-Cadma</w:t>
            </w:r>
            <w:r>
              <w:rPr>
                <w:rFonts w:ascii="Times NR MT Pro" w:hAnsi="Times NR MT Pro"/>
                <w:color w:val="231F20"/>
                <w:spacing w:val="-3"/>
                <w:sz w:val="12"/>
              </w:rPr>
              <w:t xml:space="preserve"> </w:t>
            </w:r>
            <w:r>
              <w:rPr>
                <w:rFonts w:ascii="Times New Roman;Times;serif" w:hAnsi="Times New Roman;Times;serif"/>
                <w:color w:val="231F20"/>
                <w:spacing w:val="-2"/>
                <w:sz w:val="12"/>
              </w:rPr>
              <w:t xml:space="preserve">I </w:t>
            </w:r>
            <w:r>
              <w:rPr>
                <w:rFonts w:ascii="Times New Roman;Times;serif" w:hAnsi="Times New Roman;Times;serif"/>
                <w:color w:val="231F20"/>
                <w:spacing w:val="-5"/>
                <w:sz w:val="12"/>
              </w:rPr>
              <w:t>LLC</w:t>
            </w:r>
          </w:p>
        </w:tc>
        <w:tc>
          <w:tcPr>
            <w:tcW w:w="34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688" w:type="dxa"/>
            <w:tcBorders/>
            <w:shd w:fill="CCEEFF" w:val="clear"/>
            <w:vAlign w:val="center"/>
          </w:tcPr>
          <w:p>
            <w:pPr>
              <w:pStyle w:val="TableContents"/>
              <w:bidi w:val="0"/>
              <w:spacing w:lineRule="auto" w:line="285" w:before="0" w:after="60"/>
              <w:ind w:left="0" w:right="0" w:hanging="0"/>
              <w:jc w:val="left"/>
              <w:rPr>
                <w:rFonts w:ascii="Times NR MT Pro" w:hAnsi="Times NR MT Pro"/>
                <w:sz w:val="12"/>
              </w:rPr>
            </w:pPr>
            <w:r>
              <w:rPr>
                <w:rFonts w:ascii="Times New Roman;Times;serif" w:hAnsi="Times New Roman;Times;serif"/>
                <w:color w:val="231F20"/>
                <w:sz w:val="12"/>
              </w:rPr>
              <w:t>205</w:t>
            </w:r>
            <w:r>
              <w:rPr>
                <w:rFonts w:ascii="Times NR MT Pro" w:hAnsi="Times NR MT Pro"/>
                <w:color w:val="231F20"/>
                <w:spacing w:val="-5"/>
                <w:sz w:val="12"/>
              </w:rPr>
              <w:t xml:space="preserve"> </w:t>
            </w:r>
            <w:r>
              <w:rPr>
                <w:rFonts w:ascii="Times New Roman;Times;serif" w:hAnsi="Times New Roman;Times;serif"/>
                <w:color w:val="231F20"/>
                <w:sz w:val="12"/>
              </w:rPr>
              <w:t>North</w:t>
            </w:r>
            <w:r>
              <w:rPr>
                <w:rFonts w:ascii="Times NR MT Pro" w:hAnsi="Times NR MT Pro"/>
                <w:color w:val="231F20"/>
                <w:spacing w:val="-5"/>
                <w:sz w:val="12"/>
              </w:rPr>
              <w:t xml:space="preserve"> </w:t>
            </w:r>
            <w:r>
              <w:rPr>
                <w:rFonts w:ascii="Times New Roman;Times;serif" w:hAnsi="Times New Roman;Times;serif"/>
                <w:color w:val="231F20"/>
                <w:sz w:val="12"/>
              </w:rPr>
              <w:t>Michigan</w:t>
            </w:r>
            <w:r>
              <w:rPr>
                <w:rFonts w:ascii="Times NR MT Pro" w:hAnsi="Times NR MT Pro"/>
                <w:color w:val="231F20"/>
                <w:spacing w:val="-4"/>
                <w:sz w:val="12"/>
              </w:rPr>
              <w:t xml:space="preserve"> </w:t>
            </w:r>
            <w:r>
              <w:rPr>
                <w:rFonts w:ascii="Times New Roman;Times;serif" w:hAnsi="Times New Roman;Times;serif"/>
                <w:color w:val="231F20"/>
                <w:spacing w:val="-5"/>
                <w:sz w:val="12"/>
              </w:rPr>
              <w:t xml:space="preserve">Ave </w:t>
            </w:r>
            <w:r>
              <w:rPr>
                <w:rFonts w:ascii="Times New Roman;Times;serif" w:hAnsi="Times New Roman;Times;serif"/>
                <w:color w:val="231F20"/>
                <w:sz w:val="12"/>
              </w:rPr>
              <w:t>Suite</w:t>
            </w:r>
            <w:r>
              <w:rPr>
                <w:rFonts w:ascii="Times NR MT Pro" w:hAnsi="Times NR MT Pro"/>
                <w:color w:val="231F20"/>
                <w:spacing w:val="-4"/>
                <w:sz w:val="12"/>
              </w:rPr>
              <w:t xml:space="preserve"> </w:t>
            </w:r>
            <w:r>
              <w:rPr>
                <w:rFonts w:ascii="Times New Roman;Times;serif" w:hAnsi="Times New Roman;Times;serif"/>
                <w:color w:val="231F20"/>
                <w:sz w:val="12"/>
              </w:rPr>
              <w:t>4200</w:t>
            </w:r>
            <w:r>
              <w:rPr>
                <w:rFonts w:ascii="Times NR MT Pro" w:hAnsi="Times NR MT Pro"/>
                <w:color w:val="231F20"/>
                <w:spacing w:val="-4"/>
                <w:sz w:val="12"/>
              </w:rPr>
              <w:t xml:space="preserve"> </w:t>
            </w:r>
            <w:r>
              <w:rPr>
                <w:rFonts w:ascii="Times New Roman;Times;serif" w:hAnsi="Times New Roman;Times;serif"/>
                <w:color w:val="231F20"/>
                <w:spacing w:val="-2"/>
                <w:sz w:val="12"/>
              </w:rPr>
              <w:t xml:space="preserve">Chicago </w:t>
            </w:r>
            <w:r>
              <w:rPr>
                <w:rFonts w:ascii="Times New Roman;Times;serif" w:hAnsi="Times New Roman;Times;serif"/>
                <w:color w:val="231F20"/>
                <w:sz w:val="12"/>
              </w:rPr>
              <w:t>IL</w:t>
            </w:r>
            <w:r>
              <w:rPr>
                <w:rFonts w:ascii="Times NR MT Pro" w:hAnsi="Times NR MT Pro"/>
                <w:color w:val="231F20"/>
                <w:spacing w:val="-4"/>
                <w:sz w:val="12"/>
              </w:rPr>
              <w:t xml:space="preserve"> </w:t>
            </w:r>
            <w:r>
              <w:rPr>
                <w:rFonts w:ascii="Times New Roman;Times;serif" w:hAnsi="Times New Roman;Times;serif"/>
                <w:color w:val="231F20"/>
                <w:sz w:val="12"/>
              </w:rPr>
              <w:t>60601</w:t>
            </w:r>
            <w:r>
              <w:rPr>
                <w:rFonts w:ascii="Times NR MT Pro" w:hAnsi="Times NR MT Pro"/>
                <w:color w:val="231F20"/>
                <w:spacing w:val="-4"/>
                <w:sz w:val="12"/>
              </w:rPr>
              <w:t xml:space="preserve"> </w:t>
            </w:r>
            <w:r>
              <w:rPr>
                <w:rFonts w:ascii="Times New Roman;Times;serif" w:hAnsi="Times New Roman;Times;serif"/>
                <w:color w:val="231F20"/>
                <w:spacing w:val="-4"/>
                <w:sz w:val="12"/>
              </w:rPr>
              <w:br/>
            </w:r>
            <w:r>
              <w:rPr>
                <w:rFonts w:ascii="Times New Roman;Times;serif" w:hAnsi="Times New Roman;Times;serif"/>
                <w:color w:val="231F20"/>
                <w:sz w:val="12"/>
              </w:rPr>
              <w:t>United</w:t>
            </w:r>
            <w:r>
              <w:rPr>
                <w:rFonts w:ascii="Times NR MT Pro" w:hAnsi="Times NR MT Pro"/>
                <w:color w:val="231F20"/>
                <w:spacing w:val="-4"/>
                <w:sz w:val="12"/>
              </w:rPr>
              <w:t xml:space="preserve"> </w:t>
            </w:r>
            <w:r>
              <w:rPr>
                <w:rFonts w:ascii="Times New Roman;Times;serif" w:hAnsi="Times New Roman;Times;serif"/>
                <w:color w:val="231F20"/>
                <w:spacing w:val="-2"/>
                <w:sz w:val="12"/>
              </w:rPr>
              <w:t>States</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Equity</w:t>
            </w:r>
          </w:p>
        </w:tc>
        <w:tc>
          <w:tcPr>
            <w:tcW w:w="40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color w:val="231F20"/>
                <w:sz w:val="12"/>
              </w:rPr>
              <w:t>Equity</w:t>
            </w:r>
            <w:r>
              <w:rPr>
                <w:rFonts w:ascii="Times NR MT Pro" w:hAnsi="Times NR MT Pro"/>
                <w:color w:val="231F20"/>
                <w:spacing w:val="-5"/>
                <w:sz w:val="12"/>
              </w:rPr>
              <w:t xml:space="preserve"> </w:t>
            </w:r>
            <w:r>
              <w:rPr>
                <w:rFonts w:ascii="Times New Roman;Times;serif" w:hAnsi="Times New Roman;Times;serif"/>
                <w:color w:val="231F20"/>
                <w:spacing w:val="-2"/>
                <w:sz w:val="12"/>
              </w:rPr>
              <w:t>Interest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93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color w:val="231F20"/>
                <w:spacing w:val="-5"/>
                <w:sz w:val="12"/>
              </w:rPr>
            </w:pPr>
            <w:r>
              <w:rPr>
                <w:rFonts w:ascii="Times New Roman;Times;serif" w:hAnsi="Times New Roman;Times;serif"/>
                <w:color w:val="231F20"/>
                <w:spacing w:val="-5"/>
                <w:sz w:val="12"/>
              </w:rPr>
              <w:t>N/A</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shd w:fill="CCEEFF" w:val="cle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bottom w:val="single" w:sz="2" w:space="0" w:color="231F2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5,600</w:t>
            </w:r>
          </w:p>
        </w:tc>
        <w:tc>
          <w:tcPr>
            <w:tcW w:w="2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673" w:type="dxa"/>
            <w:tcBorders>
              <w:bottom w:val="single" w:sz="2" w:space="0" w:color="231F2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5,528</w:t>
            </w:r>
          </w:p>
        </w:tc>
      </w:tr>
      <w:tr>
        <w:trPr/>
        <w:tc>
          <w:tcPr>
            <w:tcW w:w="894"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4"/>
                <w:sz w:val="12"/>
              </w:rPr>
              <w:t xml:space="preserve"> </w:t>
            </w:r>
            <w:r>
              <w:rPr>
                <w:rFonts w:ascii="Times New Roman;Times;serif" w:hAnsi="Times New Roman;Times;serif"/>
                <w:b/>
                <w:color w:val="231F20"/>
                <w:sz w:val="12"/>
              </w:rPr>
              <w:t>Multi-Sector</w:t>
            </w:r>
            <w:r>
              <w:rPr>
                <w:rFonts w:ascii="Times NR MT Pro" w:hAnsi="Times NR MT Pro"/>
                <w:color w:val="231F20"/>
                <w:spacing w:val="-4"/>
                <w:sz w:val="12"/>
              </w:rPr>
              <w:t xml:space="preserve"> </w:t>
            </w:r>
            <w:r>
              <w:rPr>
                <w:rFonts w:ascii="Times New Roman;Times;serif" w:hAnsi="Times New Roman;Times;serif"/>
                <w:b/>
                <w:color w:val="231F20"/>
                <w:sz w:val="12"/>
              </w:rPr>
              <w:t>Holdings</w:t>
            </w:r>
            <w:r>
              <w:rPr>
                <w:rFonts w:ascii="Times NR MT Pro" w:hAnsi="Times NR MT Pro"/>
                <w:color w:val="231F20"/>
                <w:spacing w:val="-1"/>
                <w:sz w:val="12"/>
              </w:rPr>
              <w:t xml:space="preserve"> </w:t>
            </w:r>
            <w:r>
              <w:rPr>
                <w:rFonts w:ascii="Times NR MT Pro" w:hAnsi="Times NR MT Pro"/>
                <w:color w:val="231F20"/>
                <w:sz w:val="12"/>
              </w:rPr>
              <w:t>–</w:t>
            </w:r>
            <w:r>
              <w:rPr>
                <w:rFonts w:ascii="Times NR MT Pro" w:hAnsi="Times NR MT Pro"/>
                <w:color w:val="231F20"/>
                <w:spacing w:val="-1"/>
                <w:sz w:val="12"/>
              </w:rPr>
              <w:t xml:space="preserve"> </w:t>
            </w:r>
            <w:r>
              <w:rPr>
                <w:rFonts w:ascii="Times New Roman;Times;serif" w:hAnsi="Times New Roman;Times;serif"/>
                <w:b/>
                <w:color w:val="231F20"/>
                <w:sz w:val="12"/>
              </w:rPr>
              <w:t>1.09%*</w:t>
            </w:r>
          </w:p>
        </w:tc>
        <w:tc>
          <w:tcPr>
            <w:tcW w:w="34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688"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40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2" w:type="dxa"/>
            <w:tcBorders/>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0" w:type="dxa"/>
            <w:tcBorders/>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931"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top w:val="single" w:sz="2" w:space="0" w:color="231F20"/>
              <w:bottom w:val="single" w:sz="2" w:space="0" w:color="231F20"/>
            </w:tcBorders>
            <w:tcMar>
              <w:top w:w="28" w:type="dxa"/>
              <w:bottom w:w="28" w:type="dxa"/>
            </w:tcMar>
            <w:vAlign w:val="center"/>
          </w:tcPr>
          <w:p>
            <w:pPr>
              <w:pStyle w:val="TableContents"/>
              <w:bidi w:val="0"/>
              <w:spacing w:lineRule="auto" w:line="285" w:before="0" w:after="0"/>
              <w:ind w:left="0" w:right="0" w:hanging="0"/>
              <w:jc w:val="right"/>
              <w:rPr/>
            </w:pPr>
            <w:r>
              <w:rPr>
                <w:color w:val="231F20"/>
                <w:spacing w:val="-2"/>
              </w:rPr>
              <w:t>​</w:t>
            </w:r>
            <w:r>
              <w:rPr>
                <w:rFonts w:ascii="Times New Roman;Times;serif" w:hAnsi="Times New Roman;Times;serif"/>
                <w:color w:val="231F20"/>
                <w:spacing w:val="-2"/>
                <w:sz w:val="12"/>
              </w:rPr>
              <w:br/>
              <w:t>5,600</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673" w:type="dxa"/>
            <w:tcBorders>
              <w:top w:val="single" w:sz="2" w:space="0" w:color="231F20"/>
              <w:bottom w:val="single" w:sz="2" w:space="0" w:color="231F20"/>
            </w:tcBorders>
            <w:tcMar>
              <w:top w:w="28" w:type="dxa"/>
              <w:bottom w:w="28" w:type="dxa"/>
            </w:tcMar>
            <w:vAlign w:val="center"/>
          </w:tcPr>
          <w:p>
            <w:pPr>
              <w:pStyle w:val="TableContents"/>
              <w:bidi w:val="0"/>
              <w:spacing w:lineRule="auto" w:line="285" w:before="0" w:after="0"/>
              <w:ind w:left="0" w:right="0" w:hanging="0"/>
              <w:jc w:val="right"/>
              <w:rPr/>
            </w:pPr>
            <w:r>
              <w:rPr>
                <w:color w:val="231F20"/>
                <w:spacing w:val="-2"/>
              </w:rPr>
              <w:t>​</w:t>
            </w:r>
            <w:r>
              <w:rPr>
                <w:rFonts w:ascii="Times New Roman;Times;serif" w:hAnsi="Times New Roman;Times;serif"/>
                <w:color w:val="231F20"/>
                <w:spacing w:val="-2"/>
                <w:sz w:val="12"/>
              </w:rPr>
              <w:br/>
              <w:t>5,528</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4"/>
                <w:sz w:val="12"/>
              </w:rPr>
              <w:t xml:space="preserve"> </w:t>
            </w:r>
            <w:r>
              <w:rPr>
                <w:rFonts w:ascii="Times New Roman;Times;serif" w:hAnsi="Times New Roman;Times;serif"/>
                <w:b/>
                <w:color w:val="231F20"/>
                <w:sz w:val="12"/>
              </w:rPr>
              <w:t>Equity</w:t>
            </w:r>
            <w:r>
              <w:rPr>
                <w:rFonts w:ascii="Times NR MT Pro" w:hAnsi="Times NR MT Pro"/>
                <w:color w:val="231F20"/>
                <w:spacing w:val="-3"/>
                <w:sz w:val="12"/>
              </w:rPr>
              <w:t xml:space="preserve"> </w:t>
            </w:r>
            <w:r>
              <w:rPr>
                <w:rFonts w:ascii="Times New Roman;Times;serif" w:hAnsi="Times New Roman;Times;serif"/>
                <w:b/>
                <w:color w:val="231F20"/>
                <w:sz w:val="12"/>
              </w:rPr>
              <w:t>Investments –</w:t>
            </w:r>
            <w:r>
              <w:rPr>
                <w:rFonts w:ascii="Times NR MT Pro" w:hAnsi="Times NR MT Pro"/>
                <w:color w:val="231F20"/>
                <w:spacing w:val="-1"/>
                <w:sz w:val="12"/>
              </w:rPr>
              <w:t xml:space="preserve"> </w:t>
            </w:r>
            <w:r>
              <w:rPr>
                <w:rFonts w:ascii="Times New Roman;Times;serif" w:hAnsi="Times New Roman;Times;serif"/>
                <w:b/>
                <w:color w:val="231F20"/>
                <w:sz w:val="12"/>
              </w:rPr>
              <w:t>1.33%*</w:t>
            </w:r>
          </w:p>
        </w:tc>
        <w:tc>
          <w:tcPr>
            <w:tcW w:w="34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688"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40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2" w:type="dxa"/>
            <w:tcBorders/>
            <w:shd w:fill="CCEEFF" w:val="cle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shd w:fill="CCEEFF" w:val="cle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0" w:type="dxa"/>
            <w:tcBorders/>
            <w:shd w:fill="CCEEFF" w:val="cle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931"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shd w:fill="CCEEFF" w:val="cle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top w:val="single" w:sz="2" w:space="0" w:color="231F20"/>
              <w:bottom w:val="single" w:sz="2" w:space="0" w:color="231F2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6,550</w:t>
            </w:r>
          </w:p>
        </w:tc>
        <w:tc>
          <w:tcPr>
            <w:tcW w:w="2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shd w:fill="CCEEFF" w:val="clear"/>
            <w:vAlign w:val="center"/>
          </w:tcPr>
          <w:p>
            <w:pPr>
              <w:pStyle w:val="TableContents"/>
              <w:bidi w:val="0"/>
              <w:spacing w:lineRule="auto" w:line="285" w:before="0" w:after="0"/>
              <w:ind w:left="0" w:right="0" w:hanging="0"/>
              <w:jc w:val="right"/>
              <w:rPr>
                <w:caps w:val="false"/>
                <w:smallCaps w:val="false"/>
                <w:color w:val="231F20"/>
                <w:spacing w:val="-2"/>
              </w:rPr>
            </w:pPr>
            <w:r>
              <w:rPr>
                <w:caps w:val="false"/>
                <w:smallCaps w:val="false"/>
                <w:color w:val="231F20"/>
                <w:spacing w:val="-2"/>
              </w:rPr>
              <w:t>​</w:t>
            </w:r>
          </w:p>
        </w:tc>
        <w:tc>
          <w:tcPr>
            <w:tcW w:w="673" w:type="dxa"/>
            <w:tcBorders>
              <w:top w:val="single" w:sz="2" w:space="0" w:color="231F20"/>
              <w:bottom w:val="single" w:sz="2" w:space="0" w:color="231F2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6,726</w:t>
            </w:r>
          </w:p>
        </w:tc>
      </w:tr>
      <w:tr>
        <w:trPr/>
        <w:tc>
          <w:tcPr>
            <w:tcW w:w="894" w:type="dxa"/>
            <w:tcBorders/>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6"/>
                <w:sz w:val="12"/>
              </w:rPr>
              <w:t xml:space="preserve"> </w:t>
            </w:r>
            <w:r>
              <w:rPr>
                <w:rFonts w:ascii="Times New Roman;Times;serif" w:hAnsi="Times New Roman;Times;serif"/>
                <w:b/>
                <w:color w:val="231F20"/>
                <w:sz w:val="12"/>
              </w:rPr>
              <w:t>Control</w:t>
            </w:r>
            <w:r>
              <w:rPr>
                <w:rFonts w:ascii="Times NR MT Pro" w:hAnsi="Times NR MT Pro"/>
                <w:color w:val="231F20"/>
                <w:spacing w:val="-3"/>
                <w:sz w:val="12"/>
              </w:rPr>
              <w:t xml:space="preserve"> </w:t>
            </w:r>
            <w:r>
              <w:rPr>
                <w:rFonts w:ascii="Times New Roman;Times;serif" w:hAnsi="Times New Roman;Times;serif"/>
                <w:b/>
                <w:color w:val="231F20"/>
                <w:sz w:val="12"/>
              </w:rPr>
              <w:t>Investments – 1.33%*</w:t>
            </w:r>
          </w:p>
        </w:tc>
        <w:tc>
          <w:tcPr>
            <w:tcW w:w="34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688"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40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2" w:type="dxa"/>
            <w:tcBorders/>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0" w:type="dxa"/>
            <w:tcBorders/>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931" w:type="dxa"/>
            <w:tcBorders/>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346" w:type="dxa"/>
            <w:tcBorders/>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570" w:type="dxa"/>
            <w:tcBorders>
              <w:top w:val="single" w:sz="2" w:space="0" w:color="231F2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6,550</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color w:val="231F20"/>
                <w:spacing w:val="-2"/>
              </w:rPr>
            </w:pPr>
            <w:r>
              <w:rPr>
                <w:color w:val="231F20"/>
                <w:spacing w:val="-2"/>
              </w:rPr>
              <w:t>​</w:t>
            </w:r>
          </w:p>
        </w:tc>
        <w:tc>
          <w:tcPr>
            <w:tcW w:w="673" w:type="dxa"/>
            <w:tcBorders>
              <w:top w:val="single" w:sz="2" w:space="0" w:color="231F20"/>
              <w:bottom w:val="single" w:sz="2" w:space="0" w:color="000000"/>
            </w:tcBorders>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6,726</w:t>
            </w:r>
          </w:p>
        </w:tc>
      </w:tr>
      <w:tr>
        <w:trPr/>
        <w:tc>
          <w:tcPr>
            <w:tcW w:w="894" w:type="dxa"/>
            <w:tcBorders/>
            <w:shd w:fill="CCEEFF" w:val="clear"/>
            <w:vAlign w:val="center"/>
          </w:tcPr>
          <w:p>
            <w:pPr>
              <w:pStyle w:val="TableContents"/>
              <w:bidi w:val="0"/>
              <w:spacing w:lineRule="auto" w:line="285" w:before="0" w:after="0"/>
              <w:ind w:left="0" w:right="0" w:hanging="0"/>
              <w:jc w:val="left"/>
              <w:rPr>
                <w:rFonts w:ascii="Times NR MT Pro" w:hAnsi="Times NR MT Pro"/>
                <w:sz w:val="12"/>
              </w:rPr>
            </w:pPr>
            <w:r>
              <w:rPr>
                <w:rFonts w:ascii="Times New Roman;Times;serif" w:hAnsi="Times New Roman;Times;serif"/>
                <w:b/>
                <w:color w:val="231F20"/>
                <w:sz w:val="12"/>
              </w:rPr>
              <w:t>Total</w:t>
            </w:r>
            <w:r>
              <w:rPr>
                <w:rFonts w:ascii="Times NR MT Pro" w:hAnsi="Times NR MT Pro"/>
                <w:color w:val="231F20"/>
                <w:spacing w:val="-3"/>
                <w:sz w:val="12"/>
              </w:rPr>
              <w:t xml:space="preserve"> </w:t>
            </w:r>
            <w:r>
              <w:rPr>
                <w:rFonts w:ascii="Times New Roman;Times;serif" w:hAnsi="Times New Roman;Times;serif"/>
                <w:b/>
                <w:color w:val="231F20"/>
                <w:sz w:val="12"/>
              </w:rPr>
              <w:t>Investments –</w:t>
            </w:r>
            <w:r>
              <w:rPr>
                <w:rFonts w:ascii="Times NR MT Pro" w:hAnsi="Times NR MT Pro"/>
                <w:color w:val="231F20"/>
                <w:spacing w:val="1"/>
                <w:sz w:val="12"/>
              </w:rPr>
              <w:t xml:space="preserve"> </w:t>
            </w:r>
            <w:r>
              <w:rPr>
                <w:rFonts w:ascii="Times New Roman;Times;serif" w:hAnsi="Times New Roman;Times;serif"/>
                <w:b/>
                <w:color w:val="231F20"/>
                <w:sz w:val="12"/>
              </w:rPr>
              <w:t>210.13%*</w:t>
            </w:r>
          </w:p>
        </w:tc>
        <w:tc>
          <w:tcPr>
            <w:tcW w:w="34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688"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673"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40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686" w:type="dxa"/>
            <w:tcBorders/>
            <w:shd w:fill="CCEEFF" w:val="clear"/>
            <w:vAlign w:val="center"/>
          </w:tcPr>
          <w:p>
            <w:pPr>
              <w:pStyle w:val="TableContents"/>
              <w:bidi w:val="0"/>
              <w:spacing w:lineRule="auto" w:line="285" w:before="0" w:after="0"/>
              <w:ind w:left="0" w:right="0" w:hanging="0"/>
              <w:jc w:val="left"/>
              <w:rPr>
                <w:color w:val="231F20"/>
              </w:rPr>
            </w:pPr>
            <w:r>
              <w:rPr>
                <w:color w:val="231F20"/>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2" w:type="dxa"/>
            <w:tcBorders/>
            <w:shd w:fill="CCEEFF" w:val="cle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55" w:type="dxa"/>
            <w:tcBorders/>
            <w:shd w:fill="CCEEFF" w:val="cle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570" w:type="dxa"/>
            <w:tcBorders/>
            <w:shd w:fill="CCEEFF" w:val="clear"/>
            <w:vAlign w:val="center"/>
          </w:tcPr>
          <w:p>
            <w:pPr>
              <w:pStyle w:val="TableContents"/>
              <w:bidi w:val="0"/>
              <w:spacing w:lineRule="auto" w:line="285" w:before="0" w:after="0"/>
              <w:ind w:left="0" w:right="0" w:hanging="0"/>
              <w:jc w:val="right"/>
              <w:rPr>
                <w:color w:val="231F20"/>
                <w:spacing w:val="-5"/>
              </w:rPr>
            </w:pPr>
            <w:r>
              <w:rPr>
                <w:color w:val="231F20"/>
                <w:spacing w:val="-5"/>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931" w:type="dxa"/>
            <w:tcBorders/>
            <w:shd w:fill="CCEEFF" w:val="clear"/>
            <w:vAlign w:val="center"/>
          </w:tcPr>
          <w:p>
            <w:pPr>
              <w:pStyle w:val="TableContents"/>
              <w:bidi w:val="0"/>
              <w:spacing w:lineRule="auto" w:line="285" w:before="0" w:after="0"/>
              <w:ind w:left="0" w:right="0" w:hanging="0"/>
              <w:jc w:val="left"/>
              <w:rPr>
                <w:color w:val="231F20"/>
                <w:spacing w:val="-5"/>
              </w:rPr>
            </w:pPr>
            <w:r>
              <w:rPr>
                <w:color w:val="231F20"/>
                <w:spacing w:val="-5"/>
              </w:rPr>
              <w:t>​</w:t>
            </w:r>
          </w:p>
        </w:tc>
        <w:tc>
          <w:tcPr>
            <w:tcW w:w="346" w:type="dxa"/>
            <w:tcBorders/>
            <w:shd w:fill="CCEEFF" w:val="cle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w:t>
            </w:r>
          </w:p>
        </w:tc>
        <w:tc>
          <w:tcPr>
            <w:tcW w:w="57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1,109,683</w:t>
            </w:r>
          </w:p>
        </w:tc>
        <w:tc>
          <w:tcPr>
            <w:tcW w:w="2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color w:val="231F20"/>
                <w:spacing w:val="-2"/>
              </w:rPr>
            </w:pPr>
            <w:r>
              <w:rPr>
                <w:color w:val="231F20"/>
                <w:spacing w:val="-2"/>
              </w:rPr>
              <w:t>​</w:t>
            </w:r>
          </w:p>
        </w:tc>
        <w:tc>
          <w:tcPr>
            <w:tcW w:w="16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Times New Roman;Times;serif" w:hAnsi="Times New Roman;Times;serif"/>
                <w:color w:val="231F20"/>
                <w:spacing w:val="-2"/>
                <w:sz w:val="12"/>
              </w:rPr>
            </w:pPr>
            <w:r>
              <w:rPr>
                <w:rFonts w:ascii="Times New Roman;Times;serif" w:hAnsi="Times New Roman;Times;serif"/>
                <w:color w:val="231F20"/>
                <w:spacing w:val="-2"/>
                <w:sz w:val="12"/>
              </w:rPr>
              <w:t>$</w:t>
            </w:r>
          </w:p>
        </w:tc>
        <w:tc>
          <w:tcPr>
            <w:tcW w:w="67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58" w:hanging="0"/>
              <w:jc w:val="right"/>
              <w:rPr>
                <w:rFonts w:ascii="Times New Roman;Times;serif" w:hAnsi="Times New Roman;Times;serif"/>
                <w:color w:val="231F20"/>
                <w:spacing w:val="-2"/>
                <w:sz w:val="12"/>
              </w:rPr>
            </w:pPr>
            <w:r>
              <w:rPr>
                <w:rFonts w:ascii="Times New Roman;Times;serif" w:hAnsi="Times New Roman;Times;serif"/>
                <w:color w:val="231F20"/>
                <w:spacing w:val="-2"/>
                <w:sz w:val="12"/>
              </w:rPr>
              <w:t>1,066,100</w:t>
            </w:r>
          </w:p>
        </w:tc>
      </w:tr>
    </w:tbl>
    <w:tbl>
      <w:tblPr>
        <w:tblW w:w="3017" w:type="dxa"/>
        <w:jc w:val="left"/>
        <w:tblInd w:w="200" w:type="dxa"/>
        <w:tblLayout w:type="fixed"/>
        <w:tblCellMar>
          <w:top w:w="0" w:type="dxa"/>
          <w:left w:w="0" w:type="dxa"/>
          <w:bottom w:w="0" w:type="dxa"/>
          <w:right w:w="0" w:type="dxa"/>
        </w:tblCellMar>
      </w:tblPr>
      <w:tblGrid>
        <w:gridCol w:w="226"/>
        <w:gridCol w:w="2791"/>
      </w:tblGrid>
      <w:tr>
        <w:trPr/>
        <w:tc>
          <w:tcPr>
            <w:tcW w:w="226"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w:t>
            </w:r>
          </w:p>
        </w:tc>
        <w:tc>
          <w:tcPr>
            <w:tcW w:w="279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Value as percentage of net assets</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Set forth below is a brief description of each portfolio company in which the fair value of our investment represents greater than 5% of our total assets as of September 30, 2024.</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3PL Central LLC (dba Extensiv)</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3PL Central LLC is a unified cloud-based platform offering fulfillment software to 3PL and eCommerce brands, which provides complete visibility on inventory and order logistics. 3PL Central LLC’s feature set enables customers to manage inventory, automate routine tasks, operate in-house fulfillment, streamline online orders, and connect with its network of partner warehouses.</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Gynesonics, Inc.</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Gynesonics, Inc., is a healthcare company focused on advancing women’s health by developing minimally invasive, incision-free, uterus-preserving, transcervical technologies for diagnostic and therapeutic applications.</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Kin Insurance, Inc.</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Kin Insurance, Inc. (“Kin”) is a direct-to-consumer homeowner’s insurance business. Kin’s end-to-end platform handles all aspects of the business in-house, from lead generation to bind-and-quote / underwriting to claims.</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VTX Intermediate Holdings, Inc. (dba VertexOne)</w:t>
      </w:r>
    </w:p>
    <w:p>
      <w:pPr>
        <w:pStyle w:val="TextBody"/>
        <w:bidi w:val="0"/>
        <w:spacing w:lineRule="auto" w:line="285" w:before="0" w:after="0"/>
        <w:ind w:left="200" w:right="200" w:firstLine="360"/>
        <w:jc w:val="left"/>
        <w:rPr>
          <w:rFonts w:ascii="Times New Roman;Times;serif" w:hAnsi="Times New Roman;Times;serif"/>
          <w:sz w:val="20"/>
        </w:rPr>
      </w:pPr>
      <w:r>
        <w:rPr>
          <w:rFonts w:ascii="Times New Roman;Times;serif" w:hAnsi="Times New Roman;Times;serif"/>
          <w:sz w:val="20"/>
        </w:rPr>
        <w:t>VTX Intermediate Holdings, Inc. (“VertexOne”) provides Customer Information System (“CIS”) software and related ancillary services to small-to-mid sized electric, water and gas utility companies. CIS is a mission critical system that manages customer accounts by measuring and reporting consumption, generating billing data, driving billing compliance and feeding all customer-facing activities. Additionally, VertexOne offers a digital customer engagement platform for utility and retail customers that is designed to lower costs to serve customers, improve collections and increase customer satisfaction.</w:t>
      </w:r>
    </w:p>
    <w:p>
      <w:pPr>
        <w:pStyle w:val="TextBody"/>
        <w:bidi w:val="0"/>
        <w:spacing w:lineRule="auto" w:line="328" w:before="0" w:after="160"/>
        <w:ind w:left="200" w:right="200" w:hanging="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11" w:name="MANAGEMENT_796802"/>
      <w:bookmarkStart w:id="412" w:name="_db757281_c106_48ff_a73e_bc80e37636b4"/>
      <w:bookmarkEnd w:id="411"/>
      <w:bookmarkEnd w:id="412"/>
      <w:r>
        <w:rPr>
          <w:rFonts w:ascii="Times New Roman;Times;serif" w:hAnsi="Times New Roman;Times;serif"/>
          <w:b/>
          <w:sz w:val="20"/>
        </w:rPr>
        <w:t>MANAGEMENT</w:t>
      </w:r>
    </w:p>
    <w:p>
      <w:pPr>
        <w:pStyle w:val="TextBody"/>
        <w:bidi w:val="0"/>
        <w:spacing w:lineRule="auto" w:line="285" w:before="0" w:after="240"/>
        <w:ind w:left="200" w:right="200" w:firstLine="360"/>
        <w:jc w:val="left"/>
        <w:rPr/>
      </w:pPr>
      <w:r>
        <w:rPr>
          <w:rFonts w:ascii="Times New Roman;Times;serif" w:hAnsi="Times New Roman;Times;serif"/>
          <w:color w:val="231F20"/>
          <w:sz w:val="20"/>
        </w:rPr>
        <w:t>The</w:t>
      </w:r>
      <w:r>
        <w:rPr>
          <w:rFonts w:ascii="Aptos" w:hAnsi="Aptos"/>
          <w:sz w:val="20"/>
        </w:rPr>
        <w:t xml:space="preserve"> </w:t>
      </w:r>
      <w:r>
        <w:rPr>
          <w:rFonts w:ascii="Times New Roman;Times;serif" w:hAnsi="Times New Roman;Times;serif"/>
          <w:sz w:val="20"/>
        </w:rPr>
        <w:t>information in the sections entitled “</w:t>
      </w:r>
      <w:r>
        <w:rPr>
          <w:rFonts w:ascii="Times New Roman;Times;serif" w:hAnsi="Times New Roman;Times;serif"/>
          <w:i/>
          <w:sz w:val="20"/>
        </w:rPr>
        <w:t>Election of Directors</w:t>
      </w:r>
      <w:r>
        <w:rPr>
          <w:rFonts w:ascii="Aptos" w:hAnsi="Aptos"/>
          <w:sz w:val="20"/>
        </w:rPr>
        <w:t xml:space="preserve">” </w:t>
      </w:r>
      <w:r>
        <w:rPr>
          <w:rFonts w:ascii="Times New Roman;Times;serif" w:hAnsi="Times New Roman;Times;serif"/>
          <w:sz w:val="20"/>
        </w:rPr>
        <w:t>and “</w:t>
      </w:r>
      <w:r>
        <w:rPr>
          <w:rFonts w:ascii="Times New Roman;Times;serif" w:hAnsi="Times New Roman;Times;serif"/>
          <w:i/>
          <w:sz w:val="20"/>
        </w:rPr>
        <w:t>Corporate Governance</w:t>
      </w:r>
      <w:r>
        <w:rPr>
          <w:rFonts w:ascii="Aptos" w:hAnsi="Aptos"/>
          <w:sz w:val="20"/>
        </w:rPr>
        <w:t xml:space="preserve">” </w:t>
      </w:r>
      <w:r>
        <w:rPr>
          <w:rFonts w:ascii="Times New Roman;Times;serif" w:hAnsi="Times New Roman;Times;serif"/>
          <w:sz w:val="20"/>
        </w:rPr>
        <w:t>in our most recent definitive proxy on Schedule 14A for our special meeting of stockholders (the “Special Proxy Statement”) and “</w:t>
      </w:r>
      <w:r>
        <w:rPr>
          <w:rFonts w:ascii="Times New Roman;Times;serif" w:hAnsi="Times New Roman;Times;serif"/>
          <w:i/>
          <w:sz w:val="20"/>
        </w:rPr>
        <w:t>Certain Relationships and Related Party Transactions</w:t>
      </w:r>
      <w:r>
        <w:rPr>
          <w:rFonts w:ascii="Aptos" w:hAnsi="Aptos"/>
          <w:sz w:val="20"/>
        </w:rPr>
        <w:t xml:space="preserve">” </w:t>
      </w:r>
      <w:r>
        <w:rPr>
          <w:rFonts w:ascii="Times New Roman;Times;serif" w:hAnsi="Times New Roman;Times;serif"/>
          <w:sz w:val="20"/>
        </w:rPr>
        <w:t xml:space="preserve">in our most recent definitive proxy statement on Schedule 14A for our annual meeting of stockholders (the “Annual Proxy Statement”) as well as information included in our current report on </w:t>
      </w:r>
      <w:hyperlink r:id="rId14">
        <w:r>
          <w:rPr>
            <w:rStyle w:val="InternetLink"/>
            <w:rFonts w:ascii="Times New Roman;Times;serif" w:hAnsi="Times New Roman;Times;serif"/>
            <w:b w:val="false"/>
            <w:i w:val="false"/>
            <w:caps w:val="false"/>
            <w:smallCaps w:val="false"/>
            <w:sz w:val="20"/>
          </w:rPr>
          <w:t>Form 8-K filed with the SEC on November 18, 2024</w:t>
        </w:r>
      </w:hyperlink>
      <w:r>
        <w:rPr>
          <w:rFonts w:ascii="Aptos" w:hAnsi="Aptos"/>
          <w:sz w:val="20"/>
        </w:rPr>
        <w:t xml:space="preserve"> </w:t>
      </w:r>
      <w:r>
        <w:rPr>
          <w:rFonts w:ascii="Times New Roman;Times;serif" w:hAnsi="Times New Roman;Times;serif"/>
          <w:sz w:val="20"/>
        </w:rPr>
        <w:t xml:space="preserve">and </w:t>
      </w:r>
      <w:hyperlink r:id="rId15">
        <w:r>
          <w:rPr>
            <w:rStyle w:val="InternetLink"/>
            <w:rFonts w:ascii="Times New Roman;Times;serif" w:hAnsi="Times New Roman;Times;serif"/>
            <w:b w:val="false"/>
            <w:i w:val="false"/>
            <w:caps w:val="false"/>
            <w:smallCaps w:val="false"/>
            <w:sz w:val="20"/>
          </w:rPr>
          <w:t>Form 8-K filed with the SEC on March 17, 2025</w:t>
        </w:r>
      </w:hyperlink>
      <w:r>
        <w:rPr>
          <w:rFonts w:ascii="Aptos" w:hAnsi="Aptos"/>
          <w:sz w:val="20"/>
        </w:rPr>
        <w:t xml:space="preserve"> </w:t>
      </w:r>
      <w:r>
        <w:rPr>
          <w:rFonts w:ascii="Times New Roman;Times;serif" w:hAnsi="Times New Roman;Times;serif"/>
          <w:sz w:val="20"/>
        </w:rPr>
        <w:t>is incorporated herein by reference.</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13" w:name="MANAGEMENTANDOTHERAGREEMENTS_309250"/>
      <w:bookmarkStart w:id="414" w:name="_b018553c_475d_4832_b11e_fcc1dfbb9836"/>
      <w:bookmarkEnd w:id="413"/>
      <w:bookmarkEnd w:id="414"/>
      <w:r>
        <w:rPr>
          <w:rFonts w:ascii="Times New Roman;Times;serif" w:hAnsi="Times New Roman;Times;serif"/>
          <w:b/>
          <w:sz w:val="20"/>
        </w:rPr>
        <w:t>MANAGEMENT AND OTHER AGREEMENTS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The information in the sections entitled “</w:t>
      </w:r>
      <w:r>
        <w:rPr>
          <w:rFonts w:ascii="Times New Roman;Times;serif" w:hAnsi="Times New Roman;Times;serif"/>
          <w:i/>
          <w:sz w:val="20"/>
        </w:rPr>
        <w:t>About RGC</w:t>
      </w:r>
      <w:r>
        <w:rPr>
          <w:rFonts w:ascii="Aptos" w:hAnsi="Aptos"/>
          <w:sz w:val="20"/>
        </w:rPr>
        <w:t xml:space="preserve">” </w:t>
      </w:r>
      <w:r>
        <w:rPr>
          <w:rFonts w:ascii="Times New Roman;Times;serif" w:hAnsi="Times New Roman;Times;serif"/>
          <w:sz w:val="20"/>
        </w:rPr>
        <w:t>and “</w:t>
      </w:r>
      <w:r>
        <w:rPr>
          <w:rFonts w:ascii="Times New Roman;Times;serif" w:hAnsi="Times New Roman;Times;serif"/>
          <w:i/>
          <w:sz w:val="20"/>
        </w:rPr>
        <w:t>About Our Administrator</w:t>
      </w:r>
      <w:r>
        <w:rPr>
          <w:rFonts w:ascii="Times New Roman;Times;serif" w:hAnsi="Times New Roman;Times;serif"/>
          <w:sz w:val="20"/>
        </w:rPr>
        <w:t>,” in Part I, Item 1 “</w:t>
      </w:r>
      <w:r>
        <w:rPr>
          <w:rFonts w:ascii="Times New Roman;Times;serif" w:hAnsi="Times New Roman;Times;serif"/>
          <w:i/>
          <w:sz w:val="20"/>
        </w:rPr>
        <w:t>Business</w:t>
      </w:r>
      <w:r>
        <w:rPr>
          <w:rFonts w:ascii="Aptos" w:hAnsi="Aptos"/>
          <w:sz w:val="20"/>
        </w:rPr>
        <w:t xml:space="preserve">” </w:t>
      </w:r>
      <w:r>
        <w:rPr>
          <w:rFonts w:ascii="Times New Roman;Times;serif" w:hAnsi="Times New Roman;Times;serif"/>
          <w:sz w:val="20"/>
        </w:rPr>
        <w:t>of our most recent Annual Report on Form 10-K, and in “</w:t>
      </w:r>
      <w:r>
        <w:rPr>
          <w:rFonts w:ascii="Times New Roman;Times;serif" w:hAnsi="Times New Roman;Times;serif"/>
          <w:i/>
          <w:sz w:val="20"/>
        </w:rPr>
        <w:t>Note 3—Related Party Agreements and Transactions</w:t>
      </w:r>
      <w:r>
        <w:rPr>
          <w:rFonts w:ascii="Aptos" w:hAnsi="Aptos"/>
          <w:sz w:val="20"/>
        </w:rPr>
        <w:t xml:space="preserve">” </w:t>
      </w:r>
      <w:r>
        <w:rPr>
          <w:rFonts w:ascii="Times New Roman;Times;serif" w:hAnsi="Times New Roman;Times;serif"/>
          <w:sz w:val="20"/>
        </w:rPr>
        <w:t>in our financial statements in our most recent Quarterly Report on Form 10-Q is incorporated herein by reference.</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15" w:name="RELATEDPARTYTRANSACTIONSANDCERTAINRELATI"/>
      <w:bookmarkStart w:id="416" w:name="_a348ac09_94e9_40b1_b170_03e3c63b5f93"/>
      <w:bookmarkEnd w:id="415"/>
      <w:bookmarkEnd w:id="416"/>
      <w:r>
        <w:rPr>
          <w:rFonts w:ascii="Times New Roman;Times;serif" w:hAnsi="Times New Roman;Times;serif"/>
          <w:b/>
          <w:sz w:val="20"/>
        </w:rPr>
        <w:t>RELATED-PARTY TRANSACTIONS AND CERTAIN RELATIONSHIPS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The</w:t>
      </w:r>
      <w:r>
        <w:rPr>
          <w:rFonts w:ascii="Aptos" w:hAnsi="Aptos"/>
          <w:sz w:val="20"/>
        </w:rPr>
        <w:t xml:space="preserve"> </w:t>
      </w:r>
      <w:r>
        <w:rPr>
          <w:rFonts w:ascii="Times New Roman;Times;serif" w:hAnsi="Times New Roman;Times;serif"/>
          <w:sz w:val="20"/>
        </w:rPr>
        <w:t xml:space="preserve">information in the section entitled </w:t>
      </w:r>
      <w:r>
        <w:rPr>
          <w:rFonts w:ascii="Aptos" w:hAnsi="Aptos"/>
          <w:sz w:val="20"/>
        </w:rPr>
        <w:t>“</w:t>
      </w:r>
      <w:r>
        <w:rPr>
          <w:rFonts w:ascii="Times New Roman;Times;serif" w:hAnsi="Times New Roman;Times;serif"/>
          <w:i/>
          <w:sz w:val="20"/>
        </w:rPr>
        <w:t>Certain Relationships and Related Transactions</w:t>
      </w:r>
      <w:r>
        <w:rPr>
          <w:rFonts w:ascii="Aptos" w:hAnsi="Aptos"/>
          <w:sz w:val="20"/>
        </w:rPr>
        <w:t xml:space="preserve">” </w:t>
      </w:r>
      <w:r>
        <w:rPr>
          <w:rFonts w:ascii="Times New Roman;Times;serif" w:hAnsi="Times New Roman;Times;serif"/>
          <w:sz w:val="20"/>
        </w:rPr>
        <w:t>in our most recent Annual Proxy Statement is incorporated herein by reference.</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17" w:name="CONTROLPERSONSANDPRINCIPALSHAREHOLDERS_6"/>
      <w:bookmarkStart w:id="418" w:name="_c7e59fc3_556e_431d_8613_3c7518e60504"/>
      <w:bookmarkEnd w:id="417"/>
      <w:bookmarkEnd w:id="418"/>
      <w:r>
        <w:rPr>
          <w:rFonts w:ascii="Times New Roman;Times;serif" w:hAnsi="Times New Roman;Times;serif"/>
          <w:b/>
          <w:sz w:val="20"/>
        </w:rPr>
        <w:t>CONTROL PERSONS AND PRINCIPAL SHAREHOLDERS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The </w:t>
      </w:r>
      <w:r>
        <w:rPr>
          <w:rFonts w:ascii="Times New Roman;Times;serif" w:hAnsi="Times New Roman;Times;serif"/>
          <w:color w:val="231F20"/>
          <w:sz w:val="20"/>
        </w:rPr>
        <w:t>information</w:t>
      </w:r>
      <w:r>
        <w:rPr>
          <w:rFonts w:ascii="Aptos" w:hAnsi="Aptos"/>
          <w:sz w:val="20"/>
        </w:rPr>
        <w:t xml:space="preserve"> </w:t>
      </w:r>
      <w:r>
        <w:rPr>
          <w:rFonts w:ascii="Times New Roman;Times;serif" w:hAnsi="Times New Roman;Times;serif"/>
          <w:sz w:val="20"/>
        </w:rPr>
        <w:t>in the sections entitled “</w:t>
      </w:r>
      <w:r>
        <w:rPr>
          <w:rFonts w:ascii="Times New Roman;Times;serif" w:hAnsi="Times New Roman;Times;serif"/>
          <w:i/>
          <w:sz w:val="20"/>
        </w:rPr>
        <w:t>Election of Directors</w:t>
      </w:r>
      <w:r>
        <w:rPr>
          <w:rFonts w:ascii="Aptos" w:hAnsi="Aptos"/>
          <w:sz w:val="20"/>
        </w:rPr>
        <w:t xml:space="preserve">” </w:t>
      </w:r>
      <w:r>
        <w:rPr>
          <w:rFonts w:ascii="Times New Roman;Times;serif" w:hAnsi="Times New Roman;Times;serif"/>
          <w:sz w:val="20"/>
        </w:rPr>
        <w:t>and “</w:t>
      </w:r>
      <w:r>
        <w:rPr>
          <w:rFonts w:ascii="Times New Roman;Times;serif" w:hAnsi="Times New Roman;Times;serif"/>
          <w:i/>
          <w:sz w:val="20"/>
        </w:rPr>
        <w:t>Security Ownership of Certain Beneficial Owners and Management</w:t>
      </w:r>
      <w:r>
        <w:rPr>
          <w:rFonts w:ascii="Aptos" w:hAnsi="Aptos"/>
          <w:sz w:val="20"/>
        </w:rPr>
        <w:t xml:space="preserve">” </w:t>
      </w:r>
      <w:r>
        <w:rPr>
          <w:rFonts w:ascii="Times New Roman;Times;serif" w:hAnsi="Times New Roman;Times;serif"/>
          <w:sz w:val="20"/>
        </w:rPr>
        <w:t>in our most recent Special Proxy Statement is incorporated herein by reference.</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19" w:name="DETERMINATIONOFNETASSETVALUE_837708"/>
      <w:bookmarkStart w:id="420" w:name="_2a1cada9_e416_4847_a3c8_8d3ebc850b55"/>
      <w:bookmarkEnd w:id="419"/>
      <w:bookmarkEnd w:id="420"/>
      <w:r>
        <w:rPr>
          <w:rFonts w:ascii="Times New Roman;Times;serif" w:hAnsi="Times New Roman;Times;serif"/>
          <w:b/>
          <w:sz w:val="20"/>
        </w:rPr>
        <w:t>DETERMINATION OF NET ASSET VALUE</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The information in the section entitled </w:t>
      </w:r>
      <w:r>
        <w:rPr>
          <w:rFonts w:ascii="Aptos" w:hAnsi="Aptos"/>
          <w:sz w:val="20"/>
        </w:rPr>
        <w:t>“</w:t>
      </w:r>
      <w:r>
        <w:rPr>
          <w:rFonts w:ascii="Times New Roman;Times;serif" w:hAnsi="Times New Roman;Times;serif"/>
          <w:i/>
          <w:sz w:val="20"/>
        </w:rPr>
        <w:t>Critical Accounting Policies</w:t>
      </w:r>
      <w:r>
        <w:rPr>
          <w:rFonts w:ascii="Times New Roman;Times;serif" w:hAnsi="Times New Roman;Times;serif"/>
          <w:sz w:val="20"/>
        </w:rPr>
        <w:t>,” in Part II, Item 8 “</w:t>
      </w:r>
      <w:r>
        <w:rPr>
          <w:rFonts w:ascii="Times New Roman;Times;serif" w:hAnsi="Times New Roman;Times;serif"/>
          <w:i/>
          <w:sz w:val="20"/>
        </w:rPr>
        <w:t>Consolidated Financial Statements and Supplementary Data</w:t>
      </w:r>
      <w:r>
        <w:rPr>
          <w:rFonts w:ascii="Aptos" w:hAnsi="Aptos"/>
          <w:sz w:val="20"/>
        </w:rPr>
        <w:t>”</w:t>
      </w:r>
      <w:r>
        <w:rPr>
          <w:rFonts w:ascii="Aptos" w:hAnsi="Aptos"/>
          <w:color w:val="231F20"/>
          <w:sz w:val="20"/>
        </w:rPr>
        <w:t xml:space="preserve"> </w:t>
      </w:r>
      <w:r>
        <w:rPr>
          <w:rFonts w:ascii="Times New Roman;Times;serif" w:hAnsi="Times New Roman;Times;serif"/>
          <w:color w:val="231F20"/>
          <w:sz w:val="20"/>
        </w:rPr>
        <w:t xml:space="preserve">of our most recent Annual Report on Form 10-K, and in </w:t>
      </w:r>
      <w:r>
        <w:rPr>
          <w:rFonts w:ascii="Aptos" w:hAnsi="Aptos"/>
          <w:sz w:val="20"/>
        </w:rPr>
        <w:t>“</w:t>
      </w:r>
      <w:r>
        <w:rPr>
          <w:rFonts w:ascii="Times New Roman;Times;serif" w:hAnsi="Times New Roman;Times;serif"/>
          <w:i/>
          <w:sz w:val="20"/>
        </w:rPr>
        <w:t>Note 2-Summary of Significant Accounting Policies</w:t>
      </w:r>
      <w:r>
        <w:rPr>
          <w:rFonts w:ascii="Aptos" w:hAnsi="Aptos"/>
          <w:sz w:val="20"/>
        </w:rPr>
        <w:t>”</w:t>
      </w:r>
      <w:r>
        <w:rPr>
          <w:rFonts w:ascii="Aptos" w:hAnsi="Aptos"/>
          <w:color w:val="231F20"/>
          <w:sz w:val="20"/>
        </w:rPr>
        <w:t xml:space="preserve"> </w:t>
      </w:r>
      <w:r>
        <w:rPr>
          <w:rFonts w:ascii="Times New Roman;Times;serif" w:hAnsi="Times New Roman;Times;serif"/>
          <w:color w:val="231F20"/>
          <w:sz w:val="20"/>
        </w:rPr>
        <w:t xml:space="preserve">in our </w:t>
      </w:r>
      <w:r>
        <w:rPr>
          <w:rFonts w:ascii="Times New Roman;Times;serif" w:hAnsi="Times New Roman;Times;serif"/>
          <w:sz w:val="20"/>
        </w:rPr>
        <w:t>financial</w:t>
      </w:r>
      <w:r>
        <w:rPr>
          <w:rFonts w:ascii="Aptos" w:hAnsi="Aptos"/>
          <w:color w:val="231F20"/>
          <w:sz w:val="20"/>
        </w:rPr>
        <w:t xml:space="preserve"> </w:t>
      </w:r>
      <w:r>
        <w:rPr>
          <w:rFonts w:ascii="Times New Roman;Times;serif" w:hAnsi="Times New Roman;Times;serif"/>
          <w:color w:val="231F20"/>
          <w:sz w:val="20"/>
        </w:rPr>
        <w:t>statements in our most recent Quarterly Report on Form 10-Q is incorporated herein by reference.</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21" w:name="DIVIDENDREINVESTMENTPLAN_250695"/>
      <w:bookmarkStart w:id="422" w:name="_318f11d3_58fd_4753_9966_9657524861fa"/>
      <w:bookmarkEnd w:id="421"/>
      <w:bookmarkEnd w:id="422"/>
      <w:r>
        <w:rPr>
          <w:rFonts w:ascii="Times New Roman;Times;serif" w:hAnsi="Times New Roman;Times;serif"/>
          <w:b/>
          <w:sz w:val="20"/>
        </w:rPr>
        <w:t>DIVIDEND REINVESTMENT PLAN</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The information in the section entitled </w:t>
      </w:r>
      <w:r>
        <w:rPr>
          <w:rFonts w:ascii="Aptos" w:hAnsi="Aptos"/>
          <w:sz w:val="20"/>
        </w:rPr>
        <w:t>“</w:t>
      </w:r>
      <w:r>
        <w:rPr>
          <w:rFonts w:ascii="Times New Roman;Times;serif" w:hAnsi="Times New Roman;Times;serif"/>
          <w:i/>
          <w:sz w:val="20"/>
        </w:rPr>
        <w:t>Dividend Reinvestment Plan</w:t>
      </w:r>
      <w:r>
        <w:rPr>
          <w:rFonts w:ascii="Times New Roman;Times;serif" w:hAnsi="Times New Roman;Times;serif"/>
          <w:sz w:val="20"/>
        </w:rPr>
        <w:t>,” in Part II, Item 7 “</w:t>
      </w:r>
      <w:r>
        <w:rPr>
          <w:rFonts w:ascii="Times New Roman;Times;serif" w:hAnsi="Times New Roman;Times;serif"/>
          <w:i/>
          <w:sz w:val="20"/>
        </w:rPr>
        <w:t>Management’s Discussion and Analysis of Financial Conditions and Results of Operations</w:t>
      </w:r>
      <w:r>
        <w:rPr>
          <w:rFonts w:ascii="Aptos" w:hAnsi="Aptos"/>
          <w:sz w:val="20"/>
        </w:rPr>
        <w:t>”</w:t>
      </w:r>
      <w:r>
        <w:rPr>
          <w:rFonts w:ascii="Aptos" w:hAnsi="Aptos"/>
          <w:color w:val="231F20"/>
          <w:sz w:val="20"/>
        </w:rPr>
        <w:t xml:space="preserve"> </w:t>
      </w:r>
      <w:r>
        <w:rPr>
          <w:rFonts w:ascii="Times New Roman;Times;serif" w:hAnsi="Times New Roman;Times;serif"/>
          <w:color w:val="231F20"/>
          <w:sz w:val="20"/>
        </w:rPr>
        <w:t xml:space="preserve">of our most recent Annual Report on Form 10-K, and in </w:t>
      </w:r>
      <w:r>
        <w:rPr>
          <w:rFonts w:ascii="Times New Roman;Times;serif" w:hAnsi="Times New Roman;Times;serif"/>
          <w:sz w:val="20"/>
        </w:rPr>
        <w:t>Part I, Item 2 “</w:t>
      </w:r>
      <w:r>
        <w:rPr>
          <w:rFonts w:ascii="Times New Roman;Times;serif" w:hAnsi="Times New Roman;Times;serif"/>
          <w:i/>
          <w:sz w:val="20"/>
        </w:rPr>
        <w:t>Management’s Discussion and Analysis of Financial Conditions and Results of Operations</w:t>
      </w:r>
      <w:r>
        <w:rPr>
          <w:rFonts w:ascii="Aptos" w:hAnsi="Aptos"/>
          <w:sz w:val="20"/>
        </w:rPr>
        <w:t>”</w:t>
      </w:r>
      <w:r>
        <w:rPr>
          <w:rFonts w:ascii="Aptos" w:hAnsi="Aptos"/>
          <w:color w:val="231F20"/>
          <w:sz w:val="20"/>
        </w:rPr>
        <w:t xml:space="preserve"> </w:t>
      </w:r>
      <w:r>
        <w:rPr>
          <w:rFonts w:ascii="Times New Roman;Times;serif" w:hAnsi="Times New Roman;Times;serif"/>
          <w:color w:val="231F20"/>
          <w:sz w:val="20"/>
        </w:rPr>
        <w:t>in our most recent Quarterly Report on Form </w:t>
      </w:r>
      <w:r>
        <w:rPr>
          <w:rFonts w:ascii="Times New Roman;Times;serif" w:hAnsi="Times New Roman;Times;serif"/>
          <w:sz w:val="20"/>
        </w:rPr>
        <w:t>10-</w:t>
      </w:r>
      <w:r>
        <w:rPr>
          <w:rFonts w:ascii="Times New Roman;Times;serif" w:hAnsi="Times New Roman;Times;serif"/>
          <w:color w:val="231F20"/>
          <w:sz w:val="20"/>
        </w:rPr>
        <w:t>Q is incorporated herein by reference.</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23" w:name="CERTAINUSFEDERALINCOMETAXCONSIDERATIONS_"/>
      <w:bookmarkStart w:id="424" w:name="_047b456b_2507_40a5_a895_53368714d231"/>
      <w:bookmarkEnd w:id="423"/>
      <w:bookmarkEnd w:id="424"/>
      <w:r>
        <w:rPr>
          <w:rFonts w:ascii="Times New Roman;Times;serif" w:hAnsi="Times New Roman;Times;serif"/>
          <w:b/>
          <w:sz w:val="20"/>
        </w:rPr>
        <w:t>CERTAIN U.S. FEDERAL INCOME TAX CONSIDERATIONS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discussion is a general summary of certain U.S. federal income tax considerations applicable to us and to an investment in our common stock. This discussion does not purport to be a complete description of the U.S. federal income tax considerations applicable to such an investment. For example, this discussion does not describe tax consequences that we have assumed to be generally known by investors or certain considerations that may be relevant to certain types of holders subject to special treatment under U.S. federal income tax laws, including persons who hold our common stock as part of a straddle or a hedging, integrated or constructive sale transaction, persons subject to the alternative minimum tax, tax-exempt organizations, insurance companies, brokers or dealers in securities, pension plans and trusts, persons whose functional currency is not the U.S. dollar, U.S. expatriates, regulated investment companies, real estate investment trusts, personal holding companies, persons who acquire an interest in the Company in connection with the performance of services, and financial institutions. Such persons should consult with their own tax advisers as to the U.S. federal income tax consequences of an investment in our common stock, which may differ substantially from those described herein. This discussion assumes that shareholders hold our common stock as capital assets (within the meaning of the Code).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discussion is based upon the Code, regulations promulgated thereunder, and administrative and judicial interpretations, each as of the date of this Registration Statement and all of which are subject to change, possibly retroactively, which could affect the continuing validity of this discussion. We have not sought and will not seek any ruling from the Internal Revenue Service (“IRS”) regarding any matter discussed herein.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This summary does not discuss any aspects of U.S. estate, alternative minimum, or gift tax or non U.S., state or local tax. It also does not discuss the special treatment under U.S. federal income tax laws that could result if we invested in tax-exempt securities or certain other investment assets.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For purposes of this discussion, a “U.S. stockholder” is a beneficial owner of shares of our common stock that is for U.S. federal income tax purposes:</w:t>
      </w:r>
    </w:p>
    <w:tbl>
      <w:tblPr>
        <w:tblW w:w="4716" w:type="dxa"/>
        <w:jc w:val="left"/>
        <w:tblInd w:w="20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citizen or individual resident of the United States;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corporation (or other entity or arrangement treated as a corporation) organized in or under the laws of the United States or any political subdivision thereof;</w:t>
            </w:r>
          </w:p>
        </w:tc>
      </w:tr>
    </w:tbl>
    <w:tbl>
      <w:tblPr>
        <w:tblW w:w="8481" w:type="dxa"/>
        <w:jc w:val="left"/>
        <w:tblInd w:w="20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estate, the income of which is subject to U.S. federal income taxation regardless of its source;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 trust if (i) a court within the United States is able to exercise primary supervision over the administration of the trust and one or more U.S. persons have authority to control all substantial decisions of the trust, or (ii) it has a valid election in effect under applicable U.S. Treasury Regulations to be treated as a U.S. person.</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 “non-U.S. stockholder” means a beneficial owner of shares of our common stock that is neither a U.S. stockholder nor a partnership (or other entity or arrangement treated as a partnership for U.S. federal income tax purposes).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If a partnership (including an entity or arrangement treated as a partnership for U.S. federal income tax purposes) holds our shares, the U.S. tax treatment of the partnership and each partner generally will depend on the status of the partner and the activities of the partnership.. A partnership considering an investment in our common stock should consult its own tax advisers regarding the U.S. federal income tax consequences of the acquisition, ownership and disposition of shares by the partnership.</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Taxation of the Company</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have elected to be treated, and intend to qualify annually, as a RIC under Subchapter M of the Code; however, no assurance can be given that we will be able to maintain our RIC tax treatment.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To qualify as a RIC, we must, among other things:</w:t>
      </w:r>
    </w:p>
    <w:tbl>
      <w:tblPr>
        <w:tblW w:w="4191" w:type="dxa"/>
        <w:jc w:val="left"/>
        <w:tblInd w:w="20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satisfy the Annual Distribution Requirement;</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as defined in the Code (“QPTP”), hereinafter the “90% Gross Income Test;” and</w:t>
            </w:r>
          </w:p>
        </w:tc>
      </w:tr>
    </w:tbl>
    <w:tbl>
      <w:tblPr>
        <w:tblW w:w="6771" w:type="dxa"/>
        <w:jc w:val="left"/>
        <w:tblInd w:w="20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diversify our holdings so that, at the end of each quarter of each taxable year: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not more than 25% of the value of our total assets is invested in (i) the securities (other than U.S. Government securities and the securities of other RICs) of any issuer, (ii) the securities (other than securities of other RICs) of any two or more issuers that we control and that are determined to be engaged in the same business or similar or related trades or businesses, or the securities of one or more QPTPs (the “Diversification Tests”).</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As a RIC, we generally are not subject to U.S. federal income tax on investment company taxable income and net capital gain that we timely distribute to our stockholders as dividends. We intend to distribute annually all or substantially all of such income. To the extent we retain any of our net capital gain or any investment company taxable income, we are subject to U.S. federal income tax imposed at corporate rates, and possibly U.S. federal excise tax (discussed below), on such retained amounts. We may choose to retain a portion of any investment company taxable income and some or all of our net capital gain, and pay the associated U.S. federal income tax and any applicable U.S. federal excise tax.</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are subject to a nondeductible 4% U.S. federal excise tax on certain of our undistributed income, unless we timely distribute (or are deemed to have timely distributed) an amount equal to at least the sum of:</w:t>
      </w:r>
    </w:p>
    <w:tbl>
      <w:tblPr>
        <w:tblW w:w="8796" w:type="dxa"/>
        <w:jc w:val="left"/>
        <w:tblInd w:w="20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98% of our ordinary income (not taking into account any capital gains or losses) for the calendar year;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98.2% of our capital gain net income (which is the excess of the gains from sales or exchanges of capital assets over the losses from such sales or exchanges) for a one-year period generally ending on October 31 of the calendar year (unless an election is made by us to use our taxable year); and</w:t>
            </w:r>
          </w:p>
        </w:tc>
      </w:tr>
    </w:tbl>
    <w:tbl>
      <w:tblPr>
        <w:tblW w:w="8286" w:type="dxa"/>
        <w:jc w:val="left"/>
        <w:tblInd w:w="20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certain undistributed amounts from previous years on which we paid no U.S. federal income tax.</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While we intend to distribute sufficient income and capital gains in order to avoid imposition of this nondeductible 4% U.S. federal excise tax, we may not be successful in avoiding entirely the imposition of this tax.</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w:t>
      </w:r>
      <w:r>
        <w:rPr>
          <w:rFonts w:ascii="Times New Roman;Times;serif" w:hAnsi="Times New Roman;Times;serif"/>
          <w:i/>
          <w:sz w:val="20"/>
        </w:rPr>
        <w:t>Regulation</w:t>
      </w:r>
      <w:r>
        <w:rPr>
          <w:rFonts w:ascii="Times New Roman;Times;serif" w:hAnsi="Times New Roman;Times;serif"/>
          <w:sz w:val="20"/>
        </w:rPr>
        <w: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limit the applicability of the 4% U.S. federal excise tax, we may make such dispositions at times that, from an investment standpoint, are not advantageous.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 RIC is limited in its ability to deduct expenses in excess of its investment company taxable income.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 them to offset capital gains. Due to these limits on the deductibility of expenses, over the course of one or more taxable years we may have, for U.S. federal income tax purposes, taxable income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Failure to Qualify as a RIC</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If we fail to qualify for treatment as a RIC, and certain relief provisions are not applicable, we would be subject to U.S. federal income tax on all of our taxable income (including our net capital gains) imposed at regular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holding period and other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adjusted tax basis in our common stock, and any remaining distributions would be treated as a capital gain. In order to requalify as a RIC, in addition to the other requirements discussed above, we would be required to distribute all of our previously undistributed earnings attributable to the period we failed to qualify as a RIC by the end of the first year that we intend to requalify as a RIC. If we fail to requalify as a RIC for a period greater than two taxable years, we may be subject to U.S. federal income tax imposed at corporate rates on any net built-in gains with respect to certain of our assets </w:t>
      </w:r>
      <w:r>
        <w:rPr>
          <w:rFonts w:ascii="Times New Roman;Times;serif" w:hAnsi="Times New Roman;Times;serif"/>
          <w:i/>
          <w:sz w:val="20"/>
        </w:rPr>
        <w:t>(i.e.</w:t>
      </w:r>
      <w:r>
        <w:rPr>
          <w:rFonts w:ascii="Times New Roman;Times;serif" w:hAnsi="Times New Roman;Times;serif"/>
          <w:sz w:val="20"/>
        </w:rPr>
        <w:t>, the excess of the aggregate gains, including items of income, over aggregate losses that would have been realized with respect to such assets if we had been liquidated) that we elect to recognize on requalification or when recognized over the next five years.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remainder of this discussion assumes that we qualify as a RIC for each taxable year.</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Company Investments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 xml:space="preserve">Debt Instruments. </w:t>
      </w:r>
      <w:r>
        <w:rPr>
          <w:rFonts w:ascii="Times New Roman;Times;serif" w:hAnsi="Times New Roman;Times;serif"/>
          <w:sz w:val="20"/>
        </w:rPr>
        <w:t>In certain circumstances, we may be required to recognize taxable income prior to the time at which we receive cash. For example, if we hold debt instruments that are treated under applicable tax rules as having OID (such as debt instruments with an end-of-term payment and/or PIK interest payment or, in certain cases, increasing interest rates or issued with warrants), we must include in taxable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 xml:space="preserve">Warrants. </w:t>
      </w:r>
      <w:r>
        <w:rPr>
          <w:rFonts w:ascii="Times New Roman;Times;serif" w:hAnsi="Times New Roman;Times;serif"/>
          <w:sz w:val="20"/>
        </w:rPr>
        <w:t>Gain or loss realized by us from the sale or exchange of warrants acquired by us as well as any loss attributable to the lapse of such warrants generally are treated as capital gain or loss. The treatment of such gain or loss as long-term or short-term generally depends on how long we held a particular warrant and on the nature of the disposition transaction.</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 xml:space="preserve">Foreign Investments. </w:t>
      </w:r>
      <w:r>
        <w:rPr>
          <w:rFonts w:ascii="Times New Roman;Times;serif" w:hAnsi="Times New Roman;Times;serif"/>
          <w:sz w:val="20"/>
        </w:rPr>
        <w:t>In the event we invest in foreign securities, we may be subject to withholding and other foreign taxes with respect to those securities. In this regard, withholding tax rates in countries with which the United States does not have a tax treaty may be 35% or more. The United States has entered into tax treaties with many foreign countries that may entitle us to a reduced rate of, or exemption from, withholding tax on investment income and gains. The effective rate of foreign tax cannot be determined at this time since the amount of our assets to be invested within various countries is not now known. We do not expect to satisfy the requirement to pass through to our stockholders their share of the foreign taxes paid by us.</w:t>
      </w:r>
    </w:p>
    <w:p>
      <w:pPr>
        <w:pStyle w:val="TextBody"/>
        <w:bidi w:val="0"/>
        <w:spacing w:lineRule="auto" w:line="285" w:before="0" w:after="0"/>
        <w:ind w:left="200" w:right="200" w:firstLine="360"/>
        <w:jc w:val="left"/>
        <w:rPr>
          <w:rFonts w:ascii="Aptos" w:hAnsi="Aptos"/>
          <w:sz w:val="20"/>
        </w:rPr>
      </w:pPr>
      <w:r>
        <w:rPr>
          <w:rFonts w:ascii="Times New Roman;Times;serif" w:hAnsi="Times New Roman;Times;serif"/>
          <w:i/>
          <w:sz w:val="20"/>
        </w:rPr>
        <w:t xml:space="preserve">Passive Foreign Investment Companies. </w:t>
      </w:r>
      <w:r>
        <w:rPr>
          <w:rFonts w:ascii="Times New Roman;Times;serif" w:hAnsi="Times New Roman;Times;serif"/>
          <w:sz w:val="20"/>
        </w:rPr>
        <w:t xml:space="preserve">If we purchase shares in a “passive foreign investment company,” or PFIC, we may be subject to U.S. federal income tax on any “excess distribution” received on, or any gain from, the disposition of such shares. Additional charges in the nature of interest generally will be imposed on us in respect of deferred taxes arising from any such excess distributions or gains. This additional tax and interest may apply even if we make a distribution as a taxable dividend by us to our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sz w:val="20"/>
        </w:rPr>
      </w:pPr>
      <w:r>
        <w:rPr>
          <w:rFonts w:ascii="Times New Roman;Times;serif" w:hAnsi="Times New Roman;Times;serif"/>
          <w:sz w:val="20"/>
        </w:rPr>
        <w:t>shareholders in an amount equal to (1) any excess distribution, or (2) the gain from the dispositions of such shares. If we invest in a PFIC and elect to treat the PFIC as a “qualified electing fund”, or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any increase in the value of such shares and as ordinary loss any decrease in such value to the extent that any such decrease does not exceed prior increases included in our income. Under either election, we may be required to recognize income in excess of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 Income inclusions from a QEF will be “good income” for purposes of the 90% Gross Income Test provided that they are derived in connection with our business of investing in stocks and securities or the QEF distributes such income to us in the same taxable year to which the income is included in our income.</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Controlled Foreign Corporations.</w:t>
      </w:r>
      <w:r>
        <w:rPr>
          <w:rFonts w:ascii="Aptos" w:hAnsi="Aptos"/>
          <w:sz w:val="20"/>
        </w:rPr>
        <w:t xml:space="preserve"> </w:t>
      </w:r>
      <w:r>
        <w:rPr>
          <w:rFonts w:ascii="Times New Roman;Times;serif" w:hAnsi="Times New Roman;Times;serif"/>
          <w:sz w:val="20"/>
        </w:rPr>
        <w:t>If we hold more than 10% of the shares in a foreign corporation that is treated as a controlled foreign corporation, or “CFC,” we may be treated as receiving a deemed distribution (taxable as ordinary income) each year from such foreign corporation in an amount equal to our pro rata share of certain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indirectly or by attribution) 10% or more of the combined voting power of all classes of shares of a corporation or 10% or more of the total value of all classes of shares of a corporation. If we are treated as receiving a deemed distribution from a CFC, we will be required to include such distribution in our investment company taxable income regardless of whether we receive any actual distributions from such CFC, and such income will be subject to the Annual Distribution Requirement and will be taken into account for purposes of the 4% U.S. federal excise tax. Income inclusions from a CFC will be “good income” for purposes of the 90% Gross Income Test provided that they are derived in connection with our business of investing in stocks and securities or the CFC distributes such income to us in the same taxable year to which the income is included in our income.</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 xml:space="preserve">Foreign Currency Transactions. </w:t>
      </w:r>
      <w:r>
        <w:rPr>
          <w:rFonts w:ascii="Times New Roman;Times;serif" w:hAnsi="Times New Roman;Times;serif"/>
          <w:sz w:val="20"/>
        </w:rPr>
        <w:t>Under the Code, gains or losses attributable to fluctuations in exchange 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Taxation of U.S. Stockholders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Distributions by us generally are taxable to U.S. stockholders as ordinary income or capital gains. Distributions of our investment company taxable income will be taxable as ordinary income to U.S. stockholders to the extent of our current or accumulated earnings and profits, whether paid in cash or reinvested in additional shares of our common stock. To the extent such distributions paid by us to non-corporate U.S. stockholders (including individuals) are attributable to dividends from U.S. corporations and certain qualified foreign corporations and such distributions are timely designated (“Qualifying Dividends”), they may be eligible for reduced rates of U.S. federal income tax. In this regard, it is anticipated that distributions paid by us generally will not be attributable to dividends and, therefore, generally will not qualify for the reduced rate of U.S. federal income tax applicable to Qualifying Dividends.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Distributions of our net capital gain (which is generally our realized net long-term capital gains in excess of realized net short-term capital losses) properly reported by us as “capital gain dividends” will be taxable to a U.S. stockholder as long-term capital gains, which are currently taxable at a maximum rate of 20% in the case of individuals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U.S. stockholder’s common stock and, after the adjusted basis is reduced to zero, will constitute capital gains to such U.S. stockholder.</w:t>
      </w:r>
    </w:p>
    <w:p>
      <w:pPr>
        <w:pStyle w:val="TextBody"/>
        <w:bidi w:val="0"/>
        <w:spacing w:lineRule="auto" w:line="285"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Although we currently intend to distribute any net long-term capital gains at least annually, we may in the future decide to retain some or all of our net long-term capital gains but designate the retained amount as a “deemed distribution.” In that case, among other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sz w:val="20"/>
        </w:rPr>
      </w:pPr>
      <w:r>
        <w:rPr>
          <w:rFonts w:ascii="Times New Roman;Times;serif" w:hAnsi="Times New Roman;Times;serif"/>
          <w:sz w:val="20"/>
        </w:rPr>
        <w:t>consequences, we will pay U.S. federal income tax on the retained amount, each U.S. stockholder will be required to include such stockholder’s share of the deemed distribution in income as if it had been distributed to the U.S. stockholder, and the U.S. stockholder will be entitled to claim a credit equal to such stockholder’s allocable share of the U.S. federal income tax paid on the deemed distribution by us. The amount of the deemed distribution net of such tax will be added to the U.S. stockholder’s adjusted tax basis for their common stock. Since we expect to pay U.S. federal income tax on any retained capital gains at the applicable corporate rate 0, and since that rate is in excess of the maximum rate currently payable by individuals on long-term capital gains, the amount of U.S. federal income tax that individual U.S. stockholders will be treated as having paid and for which they will receive a credit will exceed the U.S. federal income tax they owe on the retained net capital gain. Such excess generally may be claimed as a credit against the U.S. stockholder’s other U.S. federal income tax obligations or may be refunded to the extent it exceeds a U.S. stockholder’s liability for U.S. federal income tax. A U.S. stockholder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U.S. stockholders prior to the expiration of 60 days after the close of the relevant taxable year. We cannot treat any of our investment company taxable income as a “deemed distribution.”</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or the applicable withholding agent will provide U.S. stockholders with a notice reporting the amount of any ordinary income dividends (including the amount of such dividend, if any, eligible to be treated as qualified dividend income) and capital gain dividends by January 31. 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if we pay a stockholder a dividend in January which was declared in the previous October, November or December to stockholders of record on a specified date in one of these months, then the dividend will be treated for tax purposes as being paid by us and received by each stockholder on December 31 of the year in which the dividend was declared. If a U.S. stockholder purchases shares of our stock shortly before the record date of a distribution, the price of the shares will include the value of the distribution and the U.S. stockholder will be subject to U.S. federal income tax on the distribution even though it represents a return of its investment.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 xml:space="preserve">Dividend Reinvestment Plan. </w:t>
      </w:r>
      <w:r>
        <w:rPr>
          <w:rFonts w:ascii="Times New Roman;Times;serif" w:hAnsi="Times New Roman;Times;serif"/>
          <w:sz w:val="20"/>
        </w:rPr>
        <w:t>Under the dividend reinvestment plan, if a U.S. stockholder owns shares of common stock registered in its own name, the U.S. stockholder will have all cash distributions automatically reinvested in additional shares of common stock unless the U.S. stockholder opts out of our dividend reinvestment plan by delivering a written notice to Runway Growth Capital or our dividend paying agent, as applicable, prior to the record date of the next dividend or distribution. See “</w:t>
      </w:r>
      <w:r>
        <w:rPr>
          <w:rFonts w:ascii="Times New Roman;Times;serif" w:hAnsi="Times New Roman;Times;serif"/>
          <w:i/>
          <w:sz w:val="20"/>
        </w:rPr>
        <w:t>Dividend Reinvestment Plan</w:t>
      </w:r>
      <w:r>
        <w:rPr>
          <w:rFonts w:ascii="Times New Roman;Times;serif" w:hAnsi="Times New Roman;Times;serif"/>
          <w:sz w:val="20"/>
        </w:rPr>
        <w:t>.” Any distributions reinvested under the plan will nevertheless remain taxable to the U.S. stockholder. The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 xml:space="preserve">Dispositions. </w:t>
      </w:r>
      <w:r>
        <w:rPr>
          <w:rFonts w:ascii="Times New Roman;Times;serif" w:hAnsi="Times New Roman;Times;serif"/>
          <w:sz w:val="20"/>
        </w:rPr>
        <w:t>A U.S. stockholder generally will recognize gain or loss on the sale, exchange or other taxable disposition of shares of our common stock in an amount equal to the difference between the U.S. stockholder’s adjusted tax basis in the shares disposed of and the amount realized on their disposition. Generally, gain recognized by a U.S. stockholder on the disposition of shares of our common stock will result in capital gain or loss to a U.S. stockholder, and will be a long-term capital gain or loss if the shares have been held for more than one year at the time of sale; otherwise, any such gain or loss will be classified as short-term capital gain or loss. Any capital loss recognized by a U.S. stockholder upon the disposition of shares of our common stock held for six months or less will be treated as a long-term capital loss to the extent of any capital gain dividends received (including amounts credited as an undistributed capital gain dividend) by the U.S. stockholder. A loss recognized by a U.S. stockholder on a disposition of shares of our common stock will be disallowed as a deduction if the U.S. stockholder acquires additional shares of our common stock (whether through the automatic reinvestment of dividends or otherwise) within a 61-day period beginning 30 days before and ending 30 days after the date on which the shares are disposed. In this case, the tax basis of the shares acquired will be adjusted to reflect the disallowed loss.</w:t>
      </w:r>
    </w:p>
    <w:p>
      <w:pPr>
        <w:pStyle w:val="TextBody"/>
        <w:bidi w:val="0"/>
        <w:spacing w:lineRule="auto" w:line="285" w:before="0" w:after="0"/>
        <w:ind w:left="200" w:right="200" w:firstLine="360"/>
        <w:jc w:val="left"/>
        <w:rPr>
          <w:rFonts w:ascii="Aptos" w:hAnsi="Aptos"/>
          <w:sz w:val="20"/>
        </w:rPr>
      </w:pPr>
      <w:r>
        <w:rPr>
          <w:rFonts w:ascii="Times New Roman;Times;serif" w:hAnsi="Times New Roman;Times;serif"/>
          <w:i/>
          <w:sz w:val="20"/>
        </w:rPr>
        <w:t xml:space="preserve">Tax Shelter Reporting Regulations. </w:t>
      </w:r>
      <w:r>
        <w:rPr>
          <w:rFonts w:ascii="Times New Roman;Times;serif" w:hAnsi="Times New Roman;Times;serif"/>
          <w:sz w:val="20"/>
        </w:rPr>
        <w:t xml:space="preserve">Under applicable Treasury regulations, if a U.S. stockholder recognizes a loss with respect to shares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sz w:val="20"/>
        </w:rPr>
      </w:pPr>
      <w:r>
        <w:rPr>
          <w:rFonts w:ascii="Times New Roman;Times;serif" w:hAnsi="Times New Roman;Times;serif"/>
          <w:sz w:val="20"/>
        </w:rPr>
        <w:t>determination of whether the taxpayer’s treatment of the loss is proper. U.S. stockholders should consult their own tax advisers to determine the applicability of these regulations in light of their individual circumstances.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 xml:space="preserve">Backup Withholding. </w:t>
      </w:r>
      <w:r>
        <w:rPr>
          <w:rFonts w:ascii="Times New Roman;Times;serif" w:hAnsi="Times New Roman;Times;serif"/>
          <w:sz w:val="20"/>
        </w:rPr>
        <w:t>We may be required in certain circumstances to backup withhold, currently at a rate of 24%, on taxable dividends or distributions paid to a non-corporate U.S. stockholder (1) who fail to provide us or the distribution paying agent with a correct taxpayer identification number (in the case of individuals, generally their social security number) or a certificate that such shareholder is exempt from backup withholding or (2) with respect to whom the IRS notifies us that such shareholder has failed to properly report certain interest and dividend income to the IRS and to respond to notices to that effect. Backup withholding is not an additional tax. Any amounts withheld from payments made to you may be refunded or credited against your U.S. federal income tax liability, if any, provided that the required information is timely furnished to the IRS.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i/>
          <w:sz w:val="20"/>
        </w:rPr>
        <w:t xml:space="preserve">Limitation on Deduction for Certain Expenses. </w:t>
      </w:r>
      <w:r>
        <w:rPr>
          <w:rFonts w:ascii="Times New Roman;Times;serif" w:hAnsi="Times New Roman;Times;serif"/>
          <w:sz w:val="20"/>
        </w:rPr>
        <w:t>For any period that we do not qualify as a “publicly offered regulated investment company,” as defined in the Code, U.S. stockholders will be treated as though they received a distribution equal to certain of our expenses. A “publicly offered regulated investment company” is a RIC whose shares are either (i) continuously offered pursuant to a public offering, (ii) regularly traded on an established securities market or (iii) held by at least 500 persons at all times during the taxable year. We expect that we will constitute a publicly offered RIC, but there can be no assurance that we will in fact so qualify for any of our taxable years. If we are not a publicly offered RIC for any period, a non-corporate U.S. stockholder’s allocable portion of our affected expenses, including our management fees, will be treated as an additional distribution to the U.S. stockholder and will be deductible by such U.S. stockholder only to the extent permitted under the limitations described below. For non-corporate U.S. stockholders, including individuals, trusts, and estates, significant limitations generally apply to the deductibility of certain expenses of a non-publicly offered RIC, including advisory fees. In particular, these expenses, referred to as “miscellaneous itemized deductions,” are currently not deductible to an individual or other non-corporate U.S. stockholder (and beginning in 2026, will be deductible only to the extent they exceed 2% of such a U.S. stockholder’s adjusted gross income), and are not deductible for alternative minimum tax purposes.</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Taxation of Tax-Exempt U.S. Stockholders.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generally should not be subject to U.S. taxation solely as a result of such stockholder’s ownership of shares of common stock and receipt of dividends with respect to such shares. Moreover, under current law, if we incur indebtedness, such indebtedness will not be attributed to a tax-exempt U.S. stockholder. Therefore, a tax-exempt U.S. stockholder should not be treated as earning income from “debt-financed property” and dividends we pay should not be treated as “unrelated debt-financed income” solely as a result of indebtedness that we incur. Proposals periodically are made to change the treatment of “blocker” investment vehicles interposed between tax-exempt investors and non-qualifying investments. In the event that any such proposals were to be adopted and applied to RICs, the treatment of dividends payable to tax- exempt investors could be adversely affected. In addition, special rules would apply if we were to invest in certain real estate investment trusts or other taxable mortgage pools, which we do not currently plan to do, that could result in a tax-exempt U.S. stockholder recognizing income that would be treated as UBTI.</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Taxation of Non-U.S. Stockholders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discussion only applies to non-U.S. stockholders. Whether an investment in shares of our common stock is appropriate for a non-U.S. stockholder will depend upon that person’s particular circumstances. An investment in shares of our common stock by a non-U.S. stockholder may have adverse tax consequences. non-U.S. stockholders should consult their own tax advisers before investing in shares of our common stock.</w:t>
      </w:r>
    </w:p>
    <w:p>
      <w:pPr>
        <w:pStyle w:val="TextBody"/>
        <w:bidi w:val="0"/>
        <w:spacing w:lineRule="auto" w:line="285"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In general, distributions of our investment company taxable income generally are subject to U.S. withholding tax imposed at a 30% rate (or lower rate provided by an applicable treaty) to the extent of our current or accumulated earnings and profits unless an applicable exception applies. However, no withholding is required with respect to certain distributions if (i) the distributions are properly reported to our non-U.S. stockholders as “interest-related dividends” or “short-term capital gain dividends,” (ii) the distributions are derived from sources specified in the Code for such dividends and (iii) certain other requirements are satisfied. Currently, we do not anticipate that any significant amount of our distributions would be reported as eligible for this exemption from withholding. No assurance can be provided that any of our distributions will qualify for this exemption. If the distributions are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sz w:val="20"/>
        </w:rPr>
      </w:pPr>
      <w:r>
        <w:rPr>
          <w:rFonts w:ascii="Times New Roman;Times;serif" w:hAnsi="Times New Roman;Times;serif"/>
          <w:sz w:val="20"/>
        </w:rPr>
        <w:t>effectively connected with a U.S. trade or business of the non-U.S. stockholder (and, if a treaty applies, are attributable to a permanent establishment of the non-U.S. stockholder in the United States),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Actual or deemed distributions of our net capital gains to a non-U.S. stockholder properly reported by us as capital gain dividends, and gains realized by a non-U.S. stockholder upon the sale or redemption of our common stock, will not be subject to U.S.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the non-U.S. stockholder was present in the United States for 183 days or more during the taxable year and certain other conditions are met.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If we distribute our net capital gains in the form of deemed rather than actual distributions, a non-U.S. stockholder will be entitled to a U.S. federal income tax credit or tax refund equal to the non-U.S. stockholder’s allocable share of the U.S. federal income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If any actual or deemed distributions of our net capital gains, or any gains realized upon the sale or redemption of our common stock, are effectively connected with a U.S. trade or business of the non-U.S. stockholder (and, if an income tax treaty applies, are attributable to a permanent establishment maintained by the non-U.S. stockholder in the United States), such amounts will be subject to U.S. income tax, on a net income basis, in the same manner, and at the graduated rates applicable to, a U.S. stockholder. For a corporate non-U.S. stockholder, the after-tax amount of distributions (both actual and deemed) and gains realized upon the sale or redemption of our common stock that are effectively connected to a U.S. trade or business (and, if a treaty applies, are attributable to a permanent establishment maintained by the non-U.S. stockholder in the United States), may, under certain circumstances, be subject to an additional “branch profits tax” at a 30% rate (or at a lower rate if provided for by an applicable treaty). Accordingly, investment in shares of our common stock may not be appropriate for certain non-U.S. stockholders.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Non-U.S. stockholders will not generally be subject to U.S. federal income or withholding tax with respect to gain recognized on the sale or other disposition of shares of our common stock.</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Under the dividend reinvestment plan, our non-U.S.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and is not properly reported by us as a short-term capital gains dividend or interest-related dividend (assuming an extension of the exemption discussed above), the amount distributed (to the extent of our current and accumulated earnings and profits) will be subject to withholding of U.S. federal income tax imposed at a 30% rate (or lower rate provided by an applicable income tax treaty) and only the net after-tax amount will be reinvested in our common stock. If the distribution is effectively connected with a U.S. trade or business of the non-U.S. stockholder (and, if a treaty applies, is attributable to a permanent establishment maintained by the non-U.S. stockholder in the United States), generally the full amount of the distribution will be reinvested in the plan and will nevertheless be subject to U.S. federal income tax imposed at the ordinary income rates applicable to U.S. persons. The non-U.S. stockholder will have an adjusted tax basis in the additional common stock purchased through the plan equal to the amount reinvested. The additional shares will have a new holding period commencing on the day following the day on which the shares are credited to the non-U.S. stockholder’s account.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If we were unable to qualify for treatment as a RIC, any distributions by us would be treated as dividends to the extent of our current and accumulated earnings and profits. We would not be eligible to report any such dividends as interest-related dividends, short-term capital gain dividends, or capital gain dividends. As a result, any such dividend paid to a non-U.S. stockholder that is not effectively connected with a U.S. trade or business of the non-U.S. stockholder (and, if an income tax treaty applies, attributable to a permanent establishment maintained by the non-U.S. stockholder in the United States) would be subject to the 30% (or reduced applicable treaty rate) U.S. withholding tax discussed above regardless of the source of the income giving rise to such distribution. Distributions in excess of our current and accumulated earnings and profits would be treated first as a return of capital to the extent of the non-U.S. stockholder’s adjusted tax basis, and any remaining distributions would be treated as a gain from the sale of the non-U.S. stockholder’s shares subject to taxation as discussed above. For the consequences to the Company for failing to qualify as a RIC, see “— </w:t>
      </w:r>
      <w:r>
        <w:rPr>
          <w:rFonts w:ascii="Times New Roman;Times;serif" w:hAnsi="Times New Roman;Times;serif"/>
          <w:i/>
          <w:sz w:val="20"/>
        </w:rPr>
        <w:t>Failure to Qualify as a RIC</w:t>
      </w:r>
      <w:r>
        <w:rPr>
          <w:rFonts w:ascii="Aptos" w:hAnsi="Aptos"/>
          <w:sz w:val="20"/>
        </w:rPr>
        <w:t xml:space="preserve">” </w:t>
      </w:r>
      <w:r>
        <w:rPr>
          <w:rFonts w:ascii="Times New Roman;Times;serif" w:hAnsi="Times New Roman;Times;serif"/>
          <w:sz w:val="20"/>
        </w:rPr>
        <w:t>above.</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We must generally report to our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United States trade or business or withholding was reduced or eliminated by an applicable income tax treaty. This information also may be made available under a specific treaty or agreement with the tax authorities in the country in which the non-U.S. stockholder is a resident for tax purposes. Under U.S. federal income tax law, interest, dividends and other reportable payments may, under certain circumstances, be subject to “backup withholding” at the then applicable rate (currently 24%). Backup withholding, however, generally will not apply to distributions to a </w:t>
      </w:r>
      <w:r>
        <w:rPr>
          <w:rFonts w:ascii="Times New Roman;Times;serif" w:hAnsi="Times New Roman;Times;serif"/>
          <w:color w:val="231F20"/>
          <w:sz w:val="20"/>
        </w:rPr>
        <w:t>non</w:t>
      </w:r>
      <w:r>
        <w:rPr>
          <w:rFonts w:ascii="Times New Roman;Times;serif" w:hAnsi="Times New Roman;Times;serif"/>
          <w:sz w:val="20"/>
        </w:rPr>
        <w:t>-U.S.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Non-U.S. stockholders should consult their own tax advisers with respect to the U.S. federal income tax and withholding tax, and state, local and non-U.S. tax consequences of an investment in the shares.</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Foreign Account Tax Compliance Act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Department of the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U.S.-source interest and dividends. While the Code would also require withholding on payments of the gross proceeds from the sale of any property that could produce U.S. source interest or dividends, the U.S. Department of the Treasury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FATCA also imposes a 30% withholding on certain payments to certain foreign entities that are not FFIs unless such foreign entities certify that they do not have a greater than 10% owner that is a specified U.S. person or provide the withholding agent with identifying information on each greater than 10% owner that is a specified U.S. person. Depending on the status of a beneficial owner and the status of the intermediaries through which they hold their shares, beneficial owners of our common stock could be subject to this 30% withholding tax with respect to distributions on their shares. Under certain circumstances, a beneficial owner might be eligible for refunds or credits of such taxes.</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25" w:name="DESCRIPTIONOFOURSECURITIES_489296"/>
      <w:bookmarkStart w:id="426" w:name="_a12c4eaa_a86b_4a5e_a083_1ddefa0cf34e"/>
      <w:bookmarkEnd w:id="425"/>
      <w:bookmarkEnd w:id="426"/>
      <w:r>
        <w:rPr>
          <w:rFonts w:ascii="Times New Roman;Times;serif" w:hAnsi="Times New Roman;Times;serif"/>
          <w:b/>
          <w:sz w:val="20"/>
        </w:rPr>
        <w:t>DESCRIPTION OF OUR SECURITIES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This prospectus contains a summary of our common stock, preferred stock, subscription rights, debt securities and warrants. These summaries are </w:t>
      </w:r>
      <w:r>
        <w:rPr>
          <w:rFonts w:ascii="Times New Roman;Times;serif" w:hAnsi="Times New Roman;Times;serif"/>
          <w:color w:val="231F20"/>
          <w:sz w:val="20"/>
        </w:rPr>
        <w:t>not</w:t>
      </w:r>
      <w:r>
        <w:rPr>
          <w:rFonts w:ascii="Aptos" w:hAnsi="Aptos"/>
          <w:sz w:val="20"/>
        </w:rPr>
        <w:t xml:space="preserve"> </w:t>
      </w:r>
      <w:r>
        <w:rPr>
          <w:rFonts w:ascii="Times New Roman;Times;serif" w:hAnsi="Times New Roman;Times;serif"/>
          <w:sz w:val="20"/>
        </w:rPr>
        <w:t>meant to be a complete description of each security. However, this prospectus and the accompanying prospectus supplement will describe the material terms and conditions for each security.</w:t>
      </w:r>
    </w:p>
    <w:p>
      <w:pPr>
        <w:pStyle w:val="TextBody"/>
        <w:bidi w:val="0"/>
        <w:spacing w:lineRule="auto" w:line="285" w:before="0" w:after="240"/>
        <w:ind w:left="200" w:right="200" w:hanging="0"/>
        <w:jc w:val="center"/>
        <w:rPr>
          <w:rFonts w:ascii="Times New Roman;Times;serif" w:hAnsi="Times New Roman;Times;serif"/>
          <w:b/>
          <w:sz w:val="20"/>
        </w:rPr>
      </w:pPr>
      <w:bookmarkStart w:id="427" w:name="Tc_WvPRgvaxwUqrjWrYBpbPkg_1_4"/>
      <w:bookmarkStart w:id="428" w:name="Tc_v8Ak76Ukq0upkeyid9C3dA_1_0"/>
      <w:bookmarkStart w:id="429" w:name="Tc_szuvKlf9uk-fbsHvFrP3pg_0_6"/>
      <w:bookmarkStart w:id="430" w:name="Tc_TNOTxDy7mEWyRJ1v5AGAfg_0_4"/>
      <w:bookmarkStart w:id="431" w:name="Tc_6SGl99yv2EOGtTrq3NyT-Q_0_2"/>
      <w:bookmarkStart w:id="432" w:name="Tc_1h8aNxGxekO093bksJpq1w_0_0"/>
      <w:bookmarkStart w:id="433" w:name="_a825adf8_c5c4_45bc_98e7_540673470ead"/>
      <w:bookmarkStart w:id="434" w:name="DESCRIPTIONOFOURCAPITALSTOCK_353374"/>
      <w:bookmarkStart w:id="435" w:name="_be994d7d_b9eb_46c5_b7bc_8055eacc0526"/>
      <w:bookmarkEnd w:id="427"/>
      <w:bookmarkEnd w:id="428"/>
      <w:bookmarkEnd w:id="429"/>
      <w:bookmarkEnd w:id="430"/>
      <w:bookmarkEnd w:id="431"/>
      <w:bookmarkEnd w:id="432"/>
      <w:bookmarkEnd w:id="433"/>
      <w:bookmarkEnd w:id="434"/>
      <w:bookmarkEnd w:id="435"/>
      <w:r>
        <w:rPr>
          <w:rFonts w:ascii="Times New Roman;Times;serif" w:hAnsi="Times New Roman;Times;serif"/>
          <w:b/>
          <w:sz w:val="20"/>
        </w:rPr>
        <w:t>DESCRIPTION OF OUR CAPITAL STOCK</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description is based on relevant portions of the Maryland General Corporation Law (the “MGCL”) and on our certificate of incorporation and bylaws. This summary is not necessarily complete, and we refer you to the MGCL and our charter and bylaws for a more detailed description of the provisions summarized below.</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Under the terms of our charter, our authorized stock consists of 100 million shares of common stock, par value $0.01 per share, all of which are initially designated as common stock. As permitted by the MGCL, our charter provides that a majority of the entire Board, without any action by our shareholders, may amend the charter from time to time to increase or decrease the aggregate number of shares of stock or the number of shares of stock of any class or series that we have authority to issue. Our charter also provides that the Board may classify or reclassify any unissued shares of our common stock into one or more classes or series of common stock or preferred stock by setting or changing the preferences, conversion or other rights, voting powers, restrictions, or limitations as to dividends, qualifications, or terms or conditions of redemption of the shares. Unless the Board determines otherwise, we will issue all shares of our stock in uncertificated form.</w:t>
      </w:r>
    </w:p>
    <w:p>
      <w:pPr>
        <w:pStyle w:val="TextBody"/>
        <w:bidi w:val="0"/>
        <w:spacing w:lineRule="auto" w:line="285" w:before="0" w:after="240"/>
        <w:ind w:left="200" w:right="200" w:firstLine="360"/>
        <w:jc w:val="left"/>
        <w:rPr>
          <w:rFonts w:ascii="Aptos" w:hAnsi="Aptos"/>
          <w:sz w:val="24"/>
        </w:rPr>
      </w:pPr>
      <w:r>
        <w:rPr>
          <w:rFonts w:ascii="Times New Roman;Times;serif" w:hAnsi="Times New Roman;Times;serif"/>
          <w:sz w:val="20"/>
        </w:rPr>
        <w:t>None of our shares of common stock</w:t>
      </w:r>
      <w:r>
        <w:rPr>
          <w:rFonts w:ascii="Aptos" w:hAnsi="Aptos"/>
          <w:sz w:val="24"/>
        </w:rPr>
        <w:t xml:space="preserve"> </w:t>
      </w:r>
      <w:r>
        <w:rPr>
          <w:rFonts w:ascii="Times New Roman;Times;serif" w:hAnsi="Times New Roman;Times;serif"/>
          <w:sz w:val="20"/>
        </w:rPr>
        <w:t>are subject to further calls or to assessments, sinking fund provisions, obligations or potential liabilities associated with ownership of the security (not including investment risks).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following presents our outstanding classes of securities as of March 14, 2025:</w:t>
      </w:r>
    </w:p>
    <w:tbl>
      <w:tblPr>
        <w:tblW w:w="6512" w:type="dxa"/>
        <w:jc w:val="left"/>
        <w:tblInd w:w="200" w:type="dxa"/>
        <w:tblLayout w:type="fixed"/>
        <w:tblCellMar>
          <w:top w:w="0" w:type="dxa"/>
          <w:left w:w="0" w:type="dxa"/>
          <w:bottom w:w="0" w:type="dxa"/>
          <w:right w:w="0" w:type="dxa"/>
        </w:tblCellMar>
      </w:tblPr>
      <w:tblGrid>
        <w:gridCol w:w="1396"/>
        <w:gridCol w:w="346"/>
        <w:gridCol w:w="1121"/>
        <w:gridCol w:w="346"/>
        <w:gridCol w:w="1306"/>
        <w:gridCol w:w="346"/>
        <w:gridCol w:w="1651"/>
      </w:tblGrid>
      <w:tr>
        <w:trPr/>
        <w:tc>
          <w:tcPr>
            <w:tcW w:w="1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Title of Class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1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w:t>
              <w:br/>
              <w:t>Authorized</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 Held by</w:t>
            </w:r>
          </w:p>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 or for Our</w:t>
              <w:br/>
              <w:t>Account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6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w:t>
              <w:br/>
              <w:t>Outstanding</w:t>
              <w:br/>
              <w:t>Exclusive of Amount</w:t>
              <w:br/>
              <w:t>Held by Us or for</w:t>
              <w:br/>
              <w:t>Our Account</w:t>
            </w:r>
          </w:p>
        </w:tc>
      </w:tr>
      <w:tr>
        <w:trPr/>
        <w:tc>
          <w:tcPr>
            <w:tcW w:w="139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rFonts w:ascii="Aptos" w:hAnsi="Aptos"/>
                <w:sz w:val="20"/>
              </w:rPr>
            </w:pPr>
            <w:r>
              <w:rPr>
                <w:rFonts w:ascii="Times New Roman;Times;serif" w:hAnsi="Times New Roman;Times;serif"/>
                <w:sz w:val="20"/>
              </w:rPr>
              <w:t>Common</w:t>
            </w:r>
            <w:r>
              <w:rPr>
                <w:rFonts w:ascii="Aptos" w:hAnsi="Aptos"/>
                <w:spacing w:val="-2"/>
                <w:sz w:val="20"/>
              </w:rPr>
              <w:t xml:space="preserve"> </w:t>
            </w:r>
            <w:r>
              <w:rPr>
                <w:rFonts w:ascii="Times New Roman;Times;serif" w:hAnsi="Times New Roman;Times;serif"/>
                <w:sz w:val="20"/>
              </w:rPr>
              <w:t>Stock</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1121"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100,000,000</w:t>
            </w:r>
          </w:p>
        </w:tc>
        <w:tc>
          <w:tcPr>
            <w:tcW w:w="346" w:type="dxa"/>
            <w:tcBorders/>
            <w:shd w:fill="CCEEFF" w:val="clear"/>
            <w:vAlign w:val="center"/>
          </w:tcPr>
          <w:p>
            <w:pPr>
              <w:pStyle w:val="TableContents"/>
              <w:bidi w:val="0"/>
              <w:spacing w:lineRule="auto" w:line="328" w:before="0" w:after="160"/>
              <w:ind w:left="0" w:right="0" w:hanging="0"/>
              <w:jc w:val="left"/>
              <w:rPr>
                <w:spacing w:val="-10"/>
              </w:rPr>
            </w:pPr>
            <w:r>
              <w:rPr>
                <w:spacing w:val="-10"/>
              </w:rPr>
              <w:t>​</w:t>
            </w:r>
          </w:p>
        </w:tc>
        <w:tc>
          <w:tcPr>
            <w:tcW w:w="130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right"/>
              <w:rPr>
                <w:spacing w:val="-10"/>
              </w:rPr>
            </w:pPr>
            <w:r>
              <w:rPr>
                <w:spacing w:val="-10"/>
              </w:rPr>
              <w:t>—</w:t>
            </w:r>
          </w:p>
        </w:tc>
        <w:tc>
          <w:tcPr>
            <w:tcW w:w="346" w:type="dxa"/>
            <w:tcBorders/>
            <w:shd w:fill="CCEEFF" w:val="clear"/>
            <w:vAlign w:val="center"/>
          </w:tcPr>
          <w:p>
            <w:pPr>
              <w:pStyle w:val="TableContents"/>
              <w:bidi w:val="0"/>
              <w:spacing w:lineRule="auto" w:line="328" w:before="0" w:after="160"/>
              <w:ind w:left="0" w:right="0" w:hanging="0"/>
              <w:jc w:val="left"/>
              <w:rPr>
                <w:spacing w:val="-2"/>
              </w:rPr>
            </w:pPr>
            <w:r>
              <w:rPr>
                <w:spacing w:val="-2"/>
              </w:rPr>
              <w:t>​</w:t>
            </w:r>
          </w:p>
        </w:tc>
        <w:tc>
          <w:tcPr>
            <w:tcW w:w="1651" w:type="dxa"/>
            <w:tcBorders>
              <w:top w:val="single" w:sz="2" w:space="0" w:color="000000"/>
            </w:tcBorders>
            <w:shd w:fill="CCEEFF" w:val="clear"/>
            <w:tcMar>
              <w:top w:w="28" w:type="dxa"/>
            </w:tcMar>
            <w:vAlign w:val="center"/>
          </w:tcPr>
          <w:p>
            <w:pPr>
              <w:pStyle w:val="TableContents"/>
              <w:bidi w:val="0"/>
              <w:spacing w:lineRule="auto" w:line="328" w:before="0" w:after="0"/>
              <w:ind w:left="0" w:right="60" w:hanging="0"/>
              <w:jc w:val="right"/>
              <w:rPr>
                <w:rFonts w:ascii="Times New Roman;Times;serif" w:hAnsi="Times New Roman;Times;serif"/>
                <w:spacing w:val="-2"/>
                <w:sz w:val="20"/>
              </w:rPr>
            </w:pPr>
            <w:r>
              <w:rPr>
                <w:rFonts w:ascii="Times New Roman;Times;serif" w:hAnsi="Times New Roman;Times;serif"/>
                <w:spacing w:val="-2"/>
                <w:sz w:val="20"/>
              </w:rPr>
              <w:t>37,347,428</w:t>
            </w:r>
          </w:p>
        </w:tc>
      </w:tr>
    </w:tbl>
    <w:p>
      <w:pPr>
        <w:pStyle w:val="TextBody"/>
        <w:bidi w:val="0"/>
        <w:spacing w:lineRule="auto" w:line="328" w:before="0" w:after="160"/>
        <w:ind w:left="200" w:right="200" w:hanging="0"/>
        <w:jc w:val="left"/>
        <w:rPr/>
      </w:pPr>
      <w:r>
        <w:rPr/>
        <w:t>​</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lineRule="auto" w:line="285" w:before="0" w:after="240"/>
        <w:ind w:left="200" w:right="200" w:firstLine="360"/>
        <w:jc w:val="left"/>
        <w:rPr>
          <w:rFonts w:ascii="Aptos" w:hAnsi="Aptos"/>
          <w:sz w:val="24"/>
        </w:rPr>
      </w:pPr>
      <w:r>
        <w:rPr>
          <w:rFonts w:ascii="Times New Roman;Times;serif" w:hAnsi="Times New Roman;Times;serif"/>
          <w:sz w:val="20"/>
        </w:rPr>
        <w:t>All shares of our common stock have equal rights as to earnings, assets, voting, and dividends and, when they are issued, will be duly authorized, validly issued, fully paid and nonassessable. Distributions may be paid to the holders of our common stock if, as and when authorized by our Board and declared by us out of assets legally available therefor.</w:t>
      </w:r>
      <w:r>
        <w:rPr>
          <w:rFonts w:ascii="Aptos" w:hAnsi="Aptos"/>
          <w:sz w:val="24"/>
        </w:rPr>
        <w:t xml:space="preserve"> </w:t>
      </w:r>
      <w:r>
        <w:rPr>
          <w:rFonts w:ascii="Times New Roman;Times;serif" w:hAnsi="Times New Roman;Times;serif"/>
          <w:sz w:val="20"/>
        </w:rPr>
        <w:t>Shares of our common stock have no preemptive, conversion or redemption rights and are freely transferable, except where their transfer is restricted by federal and state securities laws or by contract.</w:t>
      </w:r>
      <w:r>
        <w:rPr>
          <w:rFonts w:ascii="Aptos" w:hAnsi="Aptos"/>
          <w:sz w:val="24"/>
        </w:rPr>
        <w:t xml:space="preserve"> </w:t>
      </w:r>
      <w:r>
        <w:rPr>
          <w:rFonts w:ascii="Times New Roman;Times;serif" w:hAnsi="Times New Roman;Times;serif"/>
          <w:sz w:val="20"/>
        </w:rPr>
        <w:t>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w:t>
      </w:r>
      <w:r>
        <w:rPr>
          <w:rFonts w:ascii="Aptos" w:hAnsi="Aptos"/>
          <w:sz w:val="24"/>
        </w:rPr>
        <w:t xml:space="preserve"> </w:t>
      </w:r>
      <w:r>
        <w:rPr>
          <w:rFonts w:ascii="Times New Roman;Times;serif" w:hAnsi="Times New Roman;Times;serif"/>
          <w:sz w:val="20"/>
        </w:rPr>
        <w:t>Each share of our common stock is entitled to one vote on all matters submitted to a vote of stockholders, including the election of directors.</w:t>
      </w:r>
      <w:r>
        <w:rPr>
          <w:rFonts w:ascii="Aptos" w:hAnsi="Aptos"/>
          <w:sz w:val="24"/>
        </w:rPr>
        <w:t xml:space="preserve"> </w:t>
      </w:r>
      <w:r>
        <w:rPr>
          <w:rFonts w:ascii="Times New Roman;Times;serif" w:hAnsi="Times New Roman;Times;serif"/>
          <w:sz w:val="20"/>
        </w:rPr>
        <w:t>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Preferred Stock</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Under the terms of our charter, the Board may authorize us to issue shares of preferred stock in one or more classes or series, without shareholder approval, to the extent permitted by the 1940 Act. The Board has the power to fix the preferences, conversion and other rights, voting powers, restrictions, limitations as to dividends and other distributions, qualifications and terms and conditions of redemption of each class or series of preferred stock. We do not currently anticipate issuing preferred stock in the near future. In the event we issue preferred stock, we will make any required disclosure to shareholders. We will not offer preferred stock to the Adviser or our affiliates except on the same terms as offered to all other shareholders.</w:t>
      </w:r>
    </w:p>
    <w:p>
      <w:pPr>
        <w:pStyle w:val="TextBody"/>
        <w:bidi w:val="0"/>
        <w:spacing w:lineRule="auto" w:line="285" w:before="0" w:after="240"/>
        <w:ind w:left="200" w:right="200" w:firstLine="360"/>
        <w:jc w:val="left"/>
        <w:rPr>
          <w:rFonts w:ascii="Aptos" w:hAnsi="Aptos"/>
          <w:sz w:val="24"/>
        </w:rPr>
      </w:pPr>
      <w:r>
        <w:rPr>
          <w:rFonts w:ascii="Times New Roman;Times;serif" w:hAnsi="Times New Roman;Times;serif"/>
          <w:sz w:val="20"/>
        </w:rPr>
        <w:t>Preferred stock could be issued with terms that would adversely affect our shareholders. Preferred stock could also be used as an anti-takeover device through the issuance of shares of a class or series of preferred stock with terms and conditions which could have the effect of delaying, deferring or preventing a transaction or a change in control. Every issuance of preferred stock will be required to comply with the requirements of the 1940 Act. The 1940 Act requires, among other things, that: (1) immediately after issuance and before any dividend or other distribution is made with respect to common stock and before any purchase of common stock is made, such preferred stock together with all other senior securities must not exceed an amount equal to 50% of our total assets after deducting the amount of such dividend, distribution or purchase price, as the case may be, and (2) the holders of shares of preferred stock, if any are issued, must be entitled as a class voting separately to elect two directors at all times and to elect a majority of the directors if distributions on such preferred stock are in arrears by two full years or more.</w:t>
      </w:r>
      <w:r>
        <w:rPr>
          <w:rFonts w:ascii="Aptos" w:hAnsi="Aptos"/>
          <w:sz w:val="24"/>
        </w:rPr>
        <w:t xml:space="preserve"> </w:t>
      </w:r>
      <w:r>
        <w:rPr>
          <w:rFonts w:ascii="Times New Roman;Times;serif" w:hAnsi="Times New Roman;Times;serif"/>
          <w:sz w:val="20"/>
        </w:rPr>
        <w:t>Certain matters under the 1940 Act require the affirmative vote of the holders of at least a majority of the outstanding shares of preferred stock (as determined in accordance with the 1940 Act) voting together as a separate class. For example, the vote of such holders of preferred stock would be required to approve a proposal involving a plan of reorganization adversely affecting such securities.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issuance of any preferred stock must be approved by a majority of the independent directors not otherwise interested in the transaction, who will have access, at our expense, to our legal counsel or to independent legal counsel.</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Limitation on Liability of Directors and Officers; Indemnification and Advance of Expenses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limited liability company, partnership, joint venture, trust, employee benefit plan or other enterprise as a director, officer, partner, trustee, member or manager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bidi w:val="0"/>
        <w:spacing w:lineRule="auto" w:line="285"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sz w:val="20"/>
        </w:rPr>
      </w:pPr>
      <w:r>
        <w:rPr>
          <w:rFonts w:ascii="Times New Roman;Times;serif" w:hAnsi="Times New Roman;Times;serif"/>
          <w:sz w:val="20"/>
        </w:rPr>
        <w:t>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have entered into indemnification agreements with our directors and executive officers. The indemnification agreements provide our directors and executive officers the maximum indemnification permitted under Maryland law and the 1940 Act.</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Certain Provisions of the Maryland General Corporation Law and Our Charter and Bylaws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MGCL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 Board. We expect the benefits of these provisions to outweigh the potential disadvantages of discouraging any such acquisition proposals because, among other things, the negotiation of such proposals may improve their terms.</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Classified Board of Directors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Board is divided into three classes of directors serving staggered three-year terms. Upon expiration of their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will help to ensure the continuity and stability of our management and policies.</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Election of Directors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bylaws, as authorized by our charter,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may amend the bylaws to alter the vote required to elect directors.</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Number of Directors; Vacancies; Removal</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charter provides that the number of directors will be set only by the Board in accordance with our bylaws. Our bylaws provide that a majority of our entire Board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MGCL regarding the filling of vacancies on the Board. Accordingly, at such time,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charter provides that a director may be removed only for cause, as defined in our charter, and then only by the affirmative vote of at least two-thirds of the votes entitled to be cast in the election of directors.</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Action by Stockholders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Advance Notice Provisions for Stockholder Nominations and Stockholder Proposals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bylaws provide that with respect to an annual meeting of stockholders, nominations of persons for election to the Board and the proposal of business to be considered by stockholders may be made only (1) pursuant to our notice of the meeting, (2) by or at the direction of the Board or (3) by a stockholder of the Company who is a stockholder of record both at the time of giving of notice provided for in our bylaws and at the time of the annual meeting, who is entitled to vote at the meeting and who has complied with the advance notice provisions of the bylaws. With respect to special meetings of stockholders, only the business specified in our notice of the meeting may be brought before the meeting. Nominations of persons for election to the Board at a special meeting may be made only (1) by or at the direction of the Board or (2) provided that the Board has determined that directors will be elected at the meeting, by a stockholder of the Company who is a stockholder of record both at the time of giving of notice provided for in our bylaws and at the time of the special meeting, who is entitled to vote at the meeting and who has complied with the advance notice provisions of the bylaws.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Calling of Special Meetings of Stockholders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bylaws provide that special meetings of stockholders may be called by our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Approval of Extraordinary Corporate Action; Amendment of Charter and Bylaws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 of the votes entitled to be cast on such matter. However, if such amendment or proposal is approved by a majority of our continuing directors (in addition to approval by our Board),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charter and bylaws provide that the Board will have the exclusive power to make, alter, amend or repeal any provision of our bylaws.</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No Appraisal Rights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Except with respect to appraisal rights arising in connection with the Control Share Act discussed below, as permitted by the MGCL, our charter provides that stockholders will not be entitled to exercise appraisal rights unless a majority of the Board shall determine such rights apply.</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Control Share Acquisitions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MGCL Control Share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tbl>
      <w:tblPr>
        <w:tblW w:w="3891" w:type="dxa"/>
        <w:jc w:val="left"/>
        <w:tblInd w:w="20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one-tenth or more but less than one-third;</w:t>
            </w:r>
          </w:p>
        </w:tc>
      </w:tr>
    </w:tbl>
    <w:tbl>
      <w:tblPr>
        <w:tblW w:w="4146" w:type="dxa"/>
        <w:jc w:val="left"/>
        <w:tblInd w:w="20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one-third or more but less than a majority; or</w:t>
            </w:r>
          </w:p>
        </w:tc>
      </w:tr>
    </w:tbl>
    <w:tbl>
      <w:tblPr>
        <w:tblW w:w="3651" w:type="dxa"/>
        <w:jc w:val="left"/>
        <w:tblInd w:w="20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or more of all voting power.</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 person who has made or proposes to make a control share acquisition may compel the Board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determines that it would be in our best interests to do so.</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beneficially owns 10% or more of the voting power of the corporation’s outstanding voting stock; or</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or associate of the corporation who, at any time within the two-year period prior to the date in question, was the beneficial owner of 10% or more of the voting power of the then outstanding voting stock of the corporation.</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 person is not an interested stockholder under this statute if the Board approved in advance the transaction by which the stockholder otherwise would have become an interested stockholder. However, in approving a transaction, the Board may provide that its approval is subject to compliance, at or after the time of approval, with any terms and conditions determined by the Board.</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After the five-year prohibition, any business combination between the Maryland corporation and an interested stockholder generally must be recommended by the Board of the corporation and approved by the affirmative vote of at least:</w:t>
      </w:r>
    </w:p>
    <w:tbl>
      <w:tblPr>
        <w:tblW w:w="9231" w:type="dxa"/>
        <w:jc w:val="left"/>
        <w:tblInd w:w="20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of the votes entitled to be cast by holders of outstanding shares of voting stock of the corporation;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statute permits various exemptions from its provisions, including business combinations that are exempted by the Board before the time that the interested stockholder becomes an interested stockholder. Our Board has adopted a resolution that any business combination between us and any other person is exempted from the provisions of the Business Combination Act, provided that the business combination is first approved by the Board, including a majority of the directors who are not “interested persons” as defined in the 1940 Act. This resolution may be altered or repealed in whole or in part at any time; however, our Board will adopt resolutions so as to make us subject to the provisions of the Business Combination Act only if the Board determines that it would be in our best interests and if the SEC staff does not object to our determination that our being subject to the Business Combination Act does not conflict with the 1940 Act. If this resolution is repealed, or the Board does not otherwise approve a business combination, the statute may discourage others from trying to acquire control of us and increase the difficulty of consummating any offer.</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Conflict with 1940 Act</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Exclusive Forum</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Our charter and bylaws provide that, to the fullest extent permitted by law, unless we consent in writing to the selection of an alternative forum,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MGCL, the charter or bylaws or the securities, antifraud, unfair trade practices or similar laws of any international, national, state, provincial, territorial, local or other governmental or regulatory authority, including, in each case, the applicable rules and regulations promulgated thereunder, or (iv) any action asserting a claim governed by the internal affairs doctrine shall be a federal or state court located in the state of Delaware, provided that to the extent the appropriate court located in the state of Delaware determines that it does not have jurisdiction over such action, then the sole and exclusive forum shall be any federal or state court located in the state of Maryland. Any person or entity purchasing or otherwise acquiring any interest in shares of capital stock of the Company shall be deemed, to the fullest extent permitted by law, to have notice of and consented to these exclusive forum provisions and to have irrevocably submitted to, and waived any objection to, the exclusive jurisdiction of such courts in connection with any such action or proceeding and consented to process being served in any such action or proceeding, without limitation, by United States mail addressed to the stockholder at the stockholder’s address as it appears on the records of the Company, with postage thereon prepaid.</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Transfer Restrictions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The shares of our common stock issued and sold by us prior to our initial public offering in reliance upon the available exemptions from the registration requirements of the Securities Act that were not registered for resale in connection with our initial public offering have not been registered under the Securities Act or the securities laws of any jurisdiction and, accordingly, until registered, may not be resold or transferred except as permitted under the Securities Act and the applicable securities laws of any jurisdiction. See “</w:t>
      </w:r>
      <w:r>
        <w:rPr>
          <w:rFonts w:ascii="Times New Roman;Times;serif" w:hAnsi="Times New Roman;Times;serif"/>
          <w:i/>
          <w:sz w:val="20"/>
        </w:rPr>
        <w:t>Shares Eligible For Future Sale</w:t>
      </w:r>
      <w:r>
        <w:rPr>
          <w:rFonts w:ascii="Aptos" w:hAnsi="Aptos"/>
          <w:sz w:val="20"/>
        </w:rPr>
        <w:t xml:space="preserve">” </w:t>
      </w:r>
      <w:r>
        <w:rPr>
          <w:rFonts w:ascii="Times New Roman;Times;serif" w:hAnsi="Times New Roman;Times;serif"/>
          <w:sz w:val="20"/>
        </w:rPr>
        <w:t>for additional information.</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36" w:name="DESCRIPTIONOFOURPREFERREDSTOCK_414964"/>
      <w:bookmarkStart w:id="437" w:name="_03a85208_d11c_40bc_a7ab_24216b25d3e7"/>
      <w:bookmarkStart w:id="438" w:name="_Toc187499187"/>
      <w:bookmarkEnd w:id="436"/>
      <w:bookmarkEnd w:id="437"/>
      <w:bookmarkEnd w:id="438"/>
      <w:r>
        <w:rPr>
          <w:rFonts w:ascii="Times New Roman;Times;serif" w:hAnsi="Times New Roman;Times;serif"/>
          <w:b/>
          <w:sz w:val="20"/>
        </w:rPr>
        <w:t>DESCRIPTION OF OUR PREFERRED STOCK</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shareholder approval. Prior to issuance of shares of each class or series, our Board is required by Maryland law and by our charter to set, subject to the express terms of any of our then outstanding classes or series of stock, the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after issuance and before any distribution is made with respect to common stock, we must meet a coverage ratio of total assets (less total liabilities other than indebtedness) to total indebtedness plus preferred stock, of at least 150% (at least 200% prior to June 16, 2022); and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features of the preferred stock are further limited by the requirements applicable to RICs under the Code.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For any class or series of preferred stock that we may issue, our Board will determine and the articles supplementary and the prospectus supplement relating to such class or series will describe: </w:t>
      </w:r>
    </w:p>
    <w:tbl>
      <w:tblPr>
        <w:tblW w:w="5421" w:type="dxa"/>
        <w:jc w:val="left"/>
        <w:tblInd w:w="20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designation and number of shares of such class or series;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time at which, and the preferences and conditions under which, any dividends will be paid on shares of such class or series, as well as whether such dividends are participating or non-participating;</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provisions relating to convertibility or exchangeability of the shares of such class or series, including adjustments to the conversion price of such class or series;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and preferences, if any, of holders of shares of such class or series upon our liquidation, dissolution or winding up of our affairs; </w:t>
            </w:r>
          </w:p>
        </w:tc>
      </w:tr>
    </w:tbl>
    <w:tbl>
      <w:tblPr>
        <w:tblW w:w="6366" w:type="dxa"/>
        <w:jc w:val="left"/>
        <w:tblInd w:w="20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voting powers, if any, of the holders of shares of such class or series; </w:t>
            </w:r>
          </w:p>
        </w:tc>
      </w:tr>
    </w:tbl>
    <w:tbl>
      <w:tblPr>
        <w:tblW w:w="6816" w:type="dxa"/>
        <w:jc w:val="left"/>
        <w:tblInd w:w="20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provisions relating to the redemption of the shares of such class or series;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limitations on our ability to pay dividends or make distributions on, or acquire or redeem, other securities while shares of such class or series are outstanding; </w:t>
            </w:r>
          </w:p>
        </w:tc>
      </w:tr>
    </w:tbl>
    <w:tbl>
      <w:tblPr>
        <w:tblW w:w="9501" w:type="dxa"/>
        <w:jc w:val="left"/>
        <w:tblInd w:w="20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conditions or restrictions on our ability to issue additional shares of such class or series or other securities; </w:t>
            </w:r>
          </w:p>
        </w:tc>
      </w:tr>
    </w:tbl>
    <w:tbl>
      <w:tblPr>
        <w:tblW w:w="7041" w:type="dxa"/>
        <w:jc w:val="left"/>
        <w:tblInd w:w="20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a discussion of certain U.S. federal income tax considerations; and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relative powers, preferences and participating, optional or special rights of shares of such class or series, and the qualifications, limitations or restrictions thereof. </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 </w:t>
      </w:r>
    </w:p>
    <w:p>
      <w:pPr>
        <w:pStyle w:val="TextBody"/>
        <w:bidi w:val="0"/>
        <w:spacing w:lineRule="auto" w:line="285" w:before="0" w:after="240"/>
        <w:ind w:left="200" w:right="200" w:hanging="0"/>
        <w:jc w:val="center"/>
        <w:rPr>
          <w:rFonts w:ascii="Times New Roman;Times;serif" w:hAnsi="Times New Roman;Times;serif"/>
          <w:b/>
          <w:sz w:val="20"/>
        </w:rPr>
      </w:pPr>
      <w:bookmarkStart w:id="439" w:name="DESCRIPTIONOFOURSUBSCRIPTIONRIGHTS_66141"/>
      <w:bookmarkStart w:id="440" w:name="_d15ba545_75d5_47e2_b8e1_eaa380b30557"/>
      <w:bookmarkStart w:id="441" w:name="_Toc187499188"/>
      <w:bookmarkEnd w:id="439"/>
      <w:bookmarkEnd w:id="440"/>
      <w:bookmarkEnd w:id="441"/>
      <w:r>
        <w:rPr>
          <w:rFonts w:ascii="Times New Roman;Times;serif" w:hAnsi="Times New Roman;Times;serif"/>
          <w:b/>
          <w:sz w:val="20"/>
        </w:rPr>
        <w:t>DESCRIPTION OF OUR SUBSCRIPTION RIGHTS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issue subscription rights to our shareholders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shareholders, we would distribute certificates evidencing the subscription rights and a prospectus supplement to our shareholders on the record date that we set for receiving subscription rights in such subscription rights offering.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applicable prospectus supplement would describe the following terms of subscription rights in respect of which this prospectus is being delivered: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period of time the offering would remain open (which shall be open a minimum number of days such that all record holders would be eligible to participate in the offering and shall not be open longer than 120 days); </w:t>
            </w:r>
          </w:p>
        </w:tc>
      </w:tr>
    </w:tbl>
    <w:tbl>
      <w:tblPr>
        <w:tblW w:w="3456" w:type="dxa"/>
        <w:jc w:val="left"/>
        <w:tblInd w:w="200" w:type="dxa"/>
        <w:tblLayout w:type="fixed"/>
        <w:tblCellMar>
          <w:top w:w="28" w:type="dxa"/>
          <w:left w:w="28" w:type="dxa"/>
          <w:bottom w:w="28" w:type="dxa"/>
          <w:right w:w="28" w:type="dxa"/>
        </w:tblCellMar>
      </w:tblPr>
      <w:tblGrid>
        <w:gridCol w:w="124"/>
        <w:gridCol w:w="256"/>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title of such subscription rights; </w:t>
            </w:r>
          </w:p>
        </w:tc>
      </w:tr>
    </w:tbl>
    <w:tbl>
      <w:tblPr>
        <w:tblW w:w="7071" w:type="dxa"/>
        <w:jc w:val="left"/>
        <w:tblInd w:w="20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exercise price for such subscription rights (or method of calculation thereof);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ratio of the offering (which, in the case of transferable rights, will require a minimum of three shares to be held of record before a person is entitled to purchase an additional share); </w:t>
            </w:r>
          </w:p>
        </w:tc>
      </w:tr>
    </w:tbl>
    <w:tbl>
      <w:tblPr>
        <w:tblW w:w="5916" w:type="dxa"/>
        <w:jc w:val="left"/>
        <w:tblInd w:w="20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such subscription rights issued to each shareholder;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extent to which such subscription rights are transferable and the market on which they may be traded if they are transferable;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a discussion of certain U.S. federal income tax considerations applicable to the issuance or exercise of such subscription rights;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on which the right to exercise such subscription rights shall commence, and the date on which such right shall expire (subject to any extension);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extent to which such subscription rights include an over-subscription privilege with respect to unsubscribed securities and the terms of such over-subscription privilege; </w:t>
            </w:r>
          </w:p>
        </w:tc>
      </w:tr>
    </w:tbl>
    <w:tbl>
      <w:tblPr>
        <w:tblW w:w="8046" w:type="dxa"/>
        <w:jc w:val="left"/>
        <w:tblInd w:w="20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termination right we may have in connection with such subscription rights offering; and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terms of such subscription rights, including exercise, settlement and other procedures and limitations relating to the transfer and exercise of such subscription rights. </w:t>
            </w:r>
          </w:p>
        </w:tc>
      </w:tr>
    </w:tbl>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Exercise of Subscription Rights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shareholders, to or through agents, underwriters or dealers or through a combination of such methods, as set forth in the applicable prospectus supplement.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Dilutive Effects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Any shareholder who chooses not to participate in a rights offering should expect to own a smaller interest in us upon completion of such rights offering. Any rights offering will dilute the ownership interest and voting power of shareholders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shareholder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shareholders will also indirectly bear the expenses associated with any rights offering we may conduct, regardless of whether they elect to exercise any rights. </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42" w:name="DESCRIPTIONOFOURWARRANTS_440594"/>
      <w:bookmarkStart w:id="443" w:name="_c1b5595c_3fef_4a7c_b6fa_ec82895bbca8"/>
      <w:bookmarkStart w:id="444" w:name="_Toc187499189"/>
      <w:bookmarkEnd w:id="442"/>
      <w:bookmarkEnd w:id="443"/>
      <w:bookmarkEnd w:id="444"/>
      <w:r>
        <w:rPr>
          <w:rFonts w:ascii="Times New Roman;Times;serif" w:hAnsi="Times New Roman;Times;serif"/>
          <w:b/>
          <w:sz w:val="20"/>
        </w:rPr>
        <w:t>DESCRIPTION OF OUR WARRANTS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 prospectus supplement will describe the particular terms of any series of warrants we may issue, including the following: </w:t>
      </w:r>
    </w:p>
    <w:tbl>
      <w:tblPr>
        <w:tblW w:w="2616" w:type="dxa"/>
        <w:jc w:val="left"/>
        <w:tblInd w:w="20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title of such warrants; </w:t>
            </w:r>
          </w:p>
        </w:tc>
      </w:tr>
    </w:tbl>
    <w:tbl>
      <w:tblPr>
        <w:tblW w:w="3741" w:type="dxa"/>
        <w:jc w:val="left"/>
        <w:tblInd w:w="20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number of such warrants; </w:t>
            </w:r>
          </w:p>
        </w:tc>
      </w:tr>
    </w:tbl>
    <w:tbl>
      <w:tblPr>
        <w:tblW w:w="5106" w:type="dxa"/>
        <w:jc w:val="left"/>
        <w:tblInd w:w="20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price or prices at which such warrants will be issued; </w:t>
            </w:r>
          </w:p>
        </w:tc>
      </w:tr>
    </w:tbl>
    <w:tbl>
      <w:tblPr>
        <w:tblW w:w="9576" w:type="dxa"/>
        <w:jc w:val="left"/>
        <w:tblInd w:w="20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currency or currencies, including composite currencies, in which the price of such warrants may be payable;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the designation and terms of the securities with which the warrants are issued and the number of warrants issued with each such security or each principal amount of such security;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on which the right to exercise such warrants shall commence and the date on which such right will expire; </w:t>
            </w:r>
          </w:p>
        </w:tc>
      </w:tr>
    </w:tbl>
    <w:tbl>
      <w:tblPr>
        <w:tblW w:w="6216" w:type="dxa"/>
        <w:jc w:val="left"/>
        <w:tblInd w:w="20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such warrants will be issued in registered form or bearer form; </w:t>
            </w:r>
          </w:p>
        </w:tc>
      </w:tr>
    </w:tbl>
    <w:tbl>
      <w:tblPr>
        <w:tblW w:w="9171" w:type="dxa"/>
        <w:jc w:val="left"/>
        <w:tblInd w:w="20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the minimum or maximum amount of such warrants which may be exercised at any one time; </w:t>
            </w:r>
          </w:p>
        </w:tc>
      </w:tr>
    </w:tbl>
    <w:tbl>
      <w:tblPr>
        <w:tblW w:w="9591" w:type="dxa"/>
        <w:jc w:val="left"/>
        <w:tblInd w:w="20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the date on and after which such warrants and the related securities will be separately transferable; </w:t>
            </w:r>
          </w:p>
        </w:tc>
      </w:tr>
    </w:tbl>
    <w:tbl>
      <w:tblPr>
        <w:tblW w:w="5256" w:type="dxa"/>
        <w:jc w:val="left"/>
        <w:tblInd w:w="20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with respect to book-entry procedures, if any; </w:t>
            </w:r>
          </w:p>
        </w:tc>
      </w:tr>
    </w:tbl>
    <w:tbl>
      <w:tblPr>
        <w:tblW w:w="5796" w:type="dxa"/>
        <w:jc w:val="left"/>
        <w:tblInd w:w="20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securities issuable upon exercise of the warrants; </w:t>
            </w:r>
          </w:p>
        </w:tc>
      </w:tr>
    </w:tbl>
    <w:tbl>
      <w:tblPr>
        <w:tblW w:w="7041" w:type="dxa"/>
        <w:jc w:val="left"/>
        <w:tblInd w:w="20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applicable, a discussion of certain U.S. federal income tax considerations; and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terms of such warrants, including terms, procedures and limitations relating to the exchange and exercise of such warrants.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Under the 1940 Act, we may generally only offer warrants provided that (1) the warrants expire by their terms within ten years; (2) the exercise or conversion price is not less than the current market value at the date of issuance; (3) our shareholders authorize the proposal to issue such warrants, and our Board approves such issuance on the basis that the issuance is in the best interests of us and our shareholders;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45" w:name="DESCRIPTIONOFOURDEBTSECURITIES_292288"/>
      <w:bookmarkStart w:id="446" w:name="_Toc187499190"/>
      <w:bookmarkEnd w:id="445"/>
      <w:bookmarkEnd w:id="446"/>
      <w:r>
        <w:rPr>
          <w:rFonts w:ascii="Times New Roman;Times;serif" w:hAnsi="Times New Roman;Times;serif"/>
          <w:b/>
          <w:sz w:val="20"/>
        </w:rPr>
        <w:t>DESCRIPTION OF OUR DEBT SECURITIES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w:t>
      </w:r>
      <w:r>
        <w:rPr>
          <w:rFonts w:ascii="Aptos" w:hAnsi="Aptos"/>
          <w:sz w:val="20"/>
        </w:rPr>
        <w:t xml:space="preserve">— </w:t>
      </w:r>
      <w:r>
        <w:rPr>
          <w:rFonts w:ascii="Times New Roman;Times;serif" w:hAnsi="Times New Roman;Times;serif"/>
          <w:i/>
          <w:sz w:val="20"/>
        </w:rPr>
        <w:t>Events of Default — Remedies If an Event of Default Occurs</w:t>
      </w:r>
      <w:r>
        <w:rPr>
          <w:rFonts w:ascii="Times New Roman;Times;serif" w:hAnsi="Times New Roman;Times;serif"/>
          <w:sz w:val="20"/>
        </w:rPr>
        <w:t xml:space="preserve">.” Second, the trustee performs certain administrative duties for us. </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w:t>
      </w:r>
      <w:r>
        <w:rPr>
          <w:rFonts w:ascii="Times New Roman;Times;serif" w:hAnsi="Times New Roman;Times;serif"/>
          <w:i/>
          <w:sz w:val="20"/>
        </w:rPr>
        <w:t>Available Information</w:t>
      </w:r>
      <w:r>
        <w:rPr>
          <w:rFonts w:ascii="Aptos" w:hAnsi="Aptos"/>
          <w:sz w:val="20"/>
        </w:rPr>
        <w:t xml:space="preserve">” </w:t>
      </w:r>
      <w:r>
        <w:rPr>
          <w:rFonts w:ascii="Times New Roman;Times;serif" w:hAnsi="Times New Roman;Times;serif"/>
          <w:sz w:val="20"/>
        </w:rPr>
        <w:t>for information on how to obtain a copy of the applicable indenture.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prospectus supplement, which will accompany this prospectus, will describe the particular series of debt securities being offered, including, among other things: </w:t>
      </w:r>
    </w:p>
    <w:tbl>
      <w:tblPr>
        <w:tblW w:w="4911" w:type="dxa"/>
        <w:jc w:val="left"/>
        <w:tblInd w:w="20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designation or title of the series of debt securities; </w:t>
            </w:r>
          </w:p>
        </w:tc>
      </w:tr>
    </w:tbl>
    <w:tbl>
      <w:tblPr>
        <w:tblW w:w="5181" w:type="dxa"/>
        <w:jc w:val="left"/>
        <w:tblInd w:w="20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principal amount of the series of debt securities; </w:t>
            </w:r>
          </w:p>
        </w:tc>
      </w:tr>
    </w:tbl>
    <w:tbl>
      <w:tblPr>
        <w:tblW w:w="7941" w:type="dxa"/>
        <w:jc w:val="left"/>
        <w:tblInd w:w="20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percentage of the principal amount at which the series of debt securities will be offered; </w:t>
            </w:r>
          </w:p>
        </w:tc>
      </w:tr>
    </w:tbl>
    <w:tbl>
      <w:tblPr>
        <w:tblW w:w="4821" w:type="dxa"/>
        <w:jc w:val="left"/>
        <w:tblInd w:w="20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or dates on which principal will be payable;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rate or rates (which may be either fixed or variable) and/or the method of determining such rate or rates of interest, if any;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or dates from which any interest will accrue, or the method of determining such date or dates, and the date or dates on which any interest will be payable;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any interest may be paid by issuing additional securities of the same series in lieu of cash (and the terms upon which any such interest may be paid by issuing additional securities); </w:t>
            </w:r>
          </w:p>
        </w:tc>
      </w:tr>
    </w:tbl>
    <w:tbl>
      <w:tblPr>
        <w:tblW w:w="5616" w:type="dxa"/>
        <w:jc w:val="left"/>
        <w:tblInd w:w="20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for redemption, extension or early repayment, if any; </w:t>
            </w:r>
          </w:p>
        </w:tc>
      </w:tr>
    </w:tbl>
    <w:tbl>
      <w:tblPr>
        <w:tblW w:w="6606" w:type="dxa"/>
        <w:jc w:val="left"/>
        <w:tblInd w:w="20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currencies in which the series of debt securities are issued and payable;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place or places, if any, other than or in addition to the Borough of Manhattan in the City of New York, of payment, transfer, conversion and/or exchange of the debt securities;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denominations in which the offered debt securities will be issued (if other than $1,000 and any integral multiple thereof); </w:t>
            </w:r>
          </w:p>
        </w:tc>
      </w:tr>
    </w:tbl>
    <w:tbl>
      <w:tblPr>
        <w:tblW w:w="3411" w:type="dxa"/>
        <w:jc w:val="left"/>
        <w:tblInd w:w="20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 for any sinking fund; </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661" w:type="dxa"/>
        <w:jc w:val="left"/>
        <w:tblInd w:w="20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restrictive covenants; </w:t>
            </w:r>
          </w:p>
        </w:tc>
      </w:tr>
    </w:tbl>
    <w:tbl>
      <w:tblPr>
        <w:tblW w:w="2391" w:type="dxa"/>
        <w:jc w:val="left"/>
        <w:tblInd w:w="200" w:type="dxa"/>
        <w:tblLayout w:type="fixed"/>
        <w:tblCellMar>
          <w:top w:w="28" w:type="dxa"/>
          <w:left w:w="28" w:type="dxa"/>
          <w:bottom w:w="28" w:type="dxa"/>
          <w:right w:w="28" w:type="dxa"/>
        </w:tblCellMar>
      </w:tblPr>
      <w:tblGrid>
        <w:gridCol w:w="124"/>
        <w:gridCol w:w="256"/>
        <w:gridCol w:w="2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Events of Default; </w:t>
            </w:r>
          </w:p>
        </w:tc>
      </w:tr>
    </w:tbl>
    <w:tbl>
      <w:tblPr>
        <w:tblW w:w="5976" w:type="dxa"/>
        <w:jc w:val="left"/>
        <w:tblInd w:w="20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series of debt securities is issuable in certificated form; </w:t>
            </w:r>
          </w:p>
        </w:tc>
      </w:tr>
    </w:tbl>
    <w:tbl>
      <w:tblPr>
        <w:tblW w:w="4971" w:type="dxa"/>
        <w:jc w:val="left"/>
        <w:tblInd w:w="20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provisions for defeasance or covenant defeasance;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special federal income tax implications, including, if applicable, U.S. federal income tax considerations relating to original issue discount;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tbl>
      <w:tblPr>
        <w:tblW w:w="9051" w:type="dxa"/>
        <w:jc w:val="left"/>
        <w:tblInd w:w="20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provisions for convertibility or exchangeability of the debt securities into or for any other securities; </w:t>
            </w:r>
          </w:p>
        </w:tc>
      </w:tr>
    </w:tbl>
    <w:tbl>
      <w:tblPr>
        <w:tblW w:w="8046" w:type="dxa"/>
        <w:jc w:val="left"/>
        <w:tblInd w:w="20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debt securities are subject to subordination and the terms of such subordination; </w:t>
            </w:r>
          </w:p>
        </w:tc>
      </w:tr>
    </w:tbl>
    <w:tbl>
      <w:tblPr>
        <w:tblW w:w="6756" w:type="dxa"/>
        <w:jc w:val="left"/>
        <w:tblInd w:w="20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the debt securities are secured and the terms of any security interest; </w:t>
            </w:r>
          </w:p>
        </w:tc>
      </w:tr>
    </w:tbl>
    <w:tbl>
      <w:tblPr>
        <w:tblW w:w="4431" w:type="dxa"/>
        <w:jc w:val="left"/>
        <w:tblInd w:w="20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listing, if any, on a securities exchange; and </w:t>
            </w:r>
          </w:p>
        </w:tc>
      </w:tr>
    </w:tbl>
    <w:tbl>
      <w:tblPr>
        <w:tblW w:w="1866" w:type="dxa"/>
        <w:jc w:val="left"/>
        <w:tblInd w:w="200" w:type="dxa"/>
        <w:tblLayout w:type="fixed"/>
        <w:tblCellMar>
          <w:top w:w="28" w:type="dxa"/>
          <w:left w:w="28" w:type="dxa"/>
          <w:bottom w:w="28" w:type="dxa"/>
          <w:right w:w="28" w:type="dxa"/>
        </w:tblCellMar>
      </w:tblPr>
      <w:tblGrid>
        <w:gridCol w:w="124"/>
        <w:gridCol w:w="256"/>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terms.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Generally, pursuant to the 1940 Act, our total borrowings are limited so that we cannot incur additional borrowings if immediately after such borrowing or issuance, the ratio of our total assets (less total liabilities other than indebtedness represented by senior securities) to our total indebtedness represented by senior securities plus preferred stock, if any, is at least 200%. However, legislation enacted in March 2018 has modified the 1940 Act by allowing a BDC to increase the maximum amount of leverage it may incur from an asset coverage ratio of 200% to an asset coverage ratio of 150%, if certain requirements are met. This means that generally, a BDC can borrow up to $1 for every $1 of investor equity or, if certain requirements are met and it reduces its asset coverage ratio, it can borrow up to $2 for every $1 of investor equity. The reduced asset coverage requirement would permit a BDC to double the amount of leverage it could incur. We are permitted to increase our asset coverage ratio to at least 150% if stockholders representing at least a majority of the votes cast, at an annual or special meeting at which quorum is met, approve a proposal to do so. On June 16, 2022, our stockholders approved the reduced asset coverage ratio at our 2022 annual meeting of stockholders. The reduced asset coverage ratio of 150% became effective upon receiving stockholder approval. We may also borrow amounts up to 5% of the value of our gross assets for temporary purposes without regard to asset coverage. For a discussion of the risks associated with leverage, see “</w:t>
      </w:r>
      <w:r>
        <w:rPr>
          <w:rFonts w:ascii="Times New Roman;Times;serif" w:hAnsi="Times New Roman;Times;serif"/>
          <w:i/>
          <w:sz w:val="20"/>
        </w:rPr>
        <w:t>Risk Factors—Risks Related to Business Development Companies—Regulations governing our operation as a business development company and RIC affect our ability to raise capital and the way in which we raise additional capital or borrow for investment purposes, which may have a negative effect on our growth. As a business development company, the necessity of raising additional capital may expose us to risks, including risks associated with leverage</w:t>
      </w:r>
      <w:r>
        <w:rPr>
          <w:rFonts w:ascii="Aptos" w:hAnsi="Aptos"/>
          <w:sz w:val="20"/>
        </w:rPr>
        <w:t xml:space="preserve">” </w:t>
      </w:r>
      <w:r>
        <w:rPr>
          <w:rFonts w:ascii="Times New Roman;Times;serif" w:hAnsi="Times New Roman;Times;serif"/>
          <w:sz w:val="20"/>
        </w:rPr>
        <w:t xml:space="preserve">in our most recent Annual Report on Form 10-K.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General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The indenture does not limit the amount of debt securities that may be issued thereunder from time to time. The indenture also provides that there may be more than one trustee thereunder, each with respect to one or more different series of indenture securities. See “— </w:t>
      </w:r>
      <w:r>
        <w:rPr>
          <w:rFonts w:ascii="Times New Roman;Times;serif" w:hAnsi="Times New Roman;Times;serif"/>
          <w:i/>
          <w:sz w:val="20"/>
        </w:rPr>
        <w:t>Resignation of Trustee</w:t>
      </w:r>
      <w:r>
        <w:rPr>
          <w:rFonts w:ascii="Aptos" w:hAnsi="Aptos"/>
          <w:sz w:val="20"/>
        </w:rPr>
        <w:t xml:space="preserve">” </w:t>
      </w:r>
      <w:r>
        <w:rPr>
          <w:rFonts w:ascii="Times New Roman;Times;serif" w:hAnsi="Times New Roman;Times;serif"/>
          <w:sz w:val="20"/>
        </w:rPr>
        <w:t xml:space="preserve">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Except as described under “— </w:t>
      </w:r>
      <w:r>
        <w:rPr>
          <w:rFonts w:ascii="Times New Roman;Times;serif" w:hAnsi="Times New Roman;Times;serif"/>
          <w:i/>
          <w:sz w:val="20"/>
        </w:rPr>
        <w:t>Events of Default</w:t>
      </w:r>
      <w:r>
        <w:rPr>
          <w:rFonts w:ascii="Aptos" w:hAnsi="Aptos"/>
          <w:sz w:val="20"/>
        </w:rPr>
        <w:t xml:space="preserve">” </w:t>
      </w:r>
      <w:r>
        <w:rPr>
          <w:rFonts w:ascii="Times New Roman;Times;serif" w:hAnsi="Times New Roman;Times;serif"/>
          <w:sz w:val="20"/>
        </w:rPr>
        <w:t xml:space="preserve">and “— </w:t>
      </w:r>
      <w:r>
        <w:rPr>
          <w:rFonts w:ascii="Times New Roman;Times;serif" w:hAnsi="Times New Roman;Times;serif"/>
          <w:i/>
          <w:sz w:val="20"/>
        </w:rPr>
        <w:t>Merger or Consolidation</w:t>
      </w:r>
      <w:r>
        <w:rPr>
          <w:rFonts w:ascii="Aptos" w:hAnsi="Aptos"/>
          <w:sz w:val="20"/>
        </w:rPr>
        <w:t xml:space="preserve">” </w:t>
      </w:r>
      <w:r>
        <w:rPr>
          <w:rFonts w:ascii="Times New Roman;Times;serif" w:hAnsi="Times New Roman;Times;serif"/>
          <w:sz w:val="20"/>
        </w:rPr>
        <w:t xml:space="preserve">below, the indenture does not contain any provisions that give you protection in the event we issue a large amount of debt or we are acquired by another entity.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Conversion and Exchange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Issuance of Securities in Registered Form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Book-Entry Holders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Street Name Holders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Legal Holders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Special Considerations for Indirect Holders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you hold debt securities through a bank, broker or other financial institution, either in book-entry form or in street name, we urge you to check with that institution to find out: </w:t>
      </w:r>
    </w:p>
    <w:tbl>
      <w:tblPr>
        <w:tblW w:w="4416" w:type="dxa"/>
        <w:jc w:val="left"/>
        <w:tblInd w:w="20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 it handles securities payments and notices, </w:t>
            </w:r>
          </w:p>
        </w:tc>
      </w:tr>
    </w:tbl>
    <w:tbl>
      <w:tblPr>
        <w:tblW w:w="3366" w:type="dxa"/>
        <w:jc w:val="left"/>
        <w:tblInd w:w="20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it imposes fees or charges, </w:t>
            </w:r>
          </w:p>
        </w:tc>
      </w:tr>
    </w:tbl>
    <w:tbl>
      <w:tblPr>
        <w:tblW w:w="6321" w:type="dxa"/>
        <w:jc w:val="left"/>
        <w:tblInd w:w="20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 it would handle a request for the holders’ consent, if ever required,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and how you can instruct it to send you debt securities registered in your own name so you can be a holder, if that is permitted in the future for a particular series of debt securities,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 it would exercise rights under the debt securities if there were a default or other event triggering the need for holders to act to protect their interests, and </w:t>
            </w:r>
          </w:p>
        </w:tc>
      </w:tr>
    </w:tbl>
    <w:tbl>
      <w:tblPr>
        <w:tblW w:w="9546" w:type="dxa"/>
        <w:jc w:val="left"/>
        <w:tblInd w:w="20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debt securities are in book-entry form, how the depositary’s rules and procedures will affect these matters. </w:t>
            </w:r>
          </w:p>
        </w:tc>
      </w:tr>
    </w:tbl>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Global Securities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A global security may not be transferred to or registered in the name of anyone other than the depositary or its nominee, unless special termination situations arise. We describe those situations below under “—</w:t>
      </w:r>
      <w:r>
        <w:rPr>
          <w:rFonts w:ascii="Times New Roman;Times;serif" w:hAnsi="Times New Roman;Times;serif"/>
          <w:i/>
          <w:sz w:val="20"/>
        </w:rPr>
        <w:t>Special Situations when a Global Security Will Be Terminated</w:t>
      </w:r>
      <w:r>
        <w:rPr>
          <w:rFonts w:ascii="Aptos" w:hAnsi="Aptos"/>
          <w:sz w:val="20"/>
        </w:rPr>
        <w:t>”</w:t>
      </w:r>
      <w:r>
        <w:rPr>
          <w:rFonts w:ascii="Times New Roman;Times;serif" w:hAnsi="Times New Roman;Times;serif"/>
          <w:sz w:val="20"/>
        </w:rPr>
        <w:t xml:space="preserve">.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Special Considerations for Global Securities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debt securities are issued only in the form of a global security, an investor should be aware of the following: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investor cannot cause the debt securities to be registered in his or her name, and cannot obtain certificates for his or her interest in the debt securities, except in the special situations we describe below.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investor will be an indirect holder and must look to his or her own bank or broker for payments on the debt securities and protection of his or her legal rights relating to the debt securities, as we describe under “—</w:t>
            </w:r>
            <w:r>
              <w:rPr>
                <w:rFonts w:ascii="Times New Roman;Times;serif" w:hAnsi="Times New Roman;Times;serif"/>
                <w:b w:val="false"/>
                <w:i/>
                <w:sz w:val="20"/>
              </w:rPr>
              <w:t>Issuance of Securities in Registered Form</w:t>
            </w:r>
            <w:r>
              <w:rPr>
                <w:caps w:val="false"/>
                <w:smallCaps w:val="false"/>
              </w:rPr>
              <w:t xml:space="preserve">” </w:t>
            </w:r>
            <w:r>
              <w:rPr>
                <w:rFonts w:ascii="Times New Roman;Times;serif" w:hAnsi="Times New Roman;Times;serif"/>
                <w:b w:val="false"/>
                <w:i w:val="false"/>
                <w:caps w:val="false"/>
                <w:smallCaps w:val="false"/>
                <w:sz w:val="20"/>
              </w:rPr>
              <w:t xml:space="preserve">above.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investor may not be able to sell interests in the debt securities to some insurance companies and other institutions that are required by law to own their securities in non-book-entry form.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investor may not be able to pledge his or her interest in a global security in circumstances where certificates representing the debt securities must be delivered to the lender or other beneficiary of the pledge in order for the pledge to be effective.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redeem less than all the debt securities of a particular series being redeemed, DTC’s practice is to determine by lot the amount to be redeemed from each of its participants holding that series.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 </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Termination of a Global Security </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If a global security is terminated,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w:t>
      </w:r>
      <w:r>
        <w:rPr>
          <w:rFonts w:ascii="Times New Roman;Times;serif" w:hAnsi="Times New Roman;Times;serif"/>
          <w:i/>
          <w:sz w:val="20"/>
        </w:rPr>
        <w:t>Issuance of Securities in Registered Form</w:t>
      </w:r>
      <w:r>
        <w:rPr>
          <w:rFonts w:ascii="Aptos" w:hAnsi="Aptos"/>
          <w:sz w:val="20"/>
        </w:rPr>
        <w:t xml:space="preserve">” </w:t>
      </w:r>
      <w:r>
        <w:rPr>
          <w:rFonts w:ascii="Times New Roman;Times;serif" w:hAnsi="Times New Roman;Times;serif"/>
          <w:sz w:val="20"/>
        </w:rPr>
        <w:t xml:space="preserve">above.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Payment and Paying Agents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Payments on Global Securities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Payments on Certificated Securities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will make payments on a certificated debt security as follows. We will pay interest that is due on an interest payment date to the holder of debt securities as shown on the trustee’s records as of the close of business on the regular record date at our office in New York, NY and/or at other offices that may be specified in the prospectus supplement. We will make all payments of principal and premium, if any, by check at the office of the applicable trustee in New York, NY and/or at other offices that may be specified in the prospectus supplement or in a notice to holders against surrender of the debt security.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Alternatively, at our option, we may pay any interest that becomes due on the debt security by mailing a check to the holder at his or her address shown on the trustee’s records as of the close of business on the regular record date or by transfer to an account at a bank in the United States, in either case, on the due date.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Payment When Offices Are Closed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Book-entry and other indirect holders should consult their banks or brokers for information on how they will receive payments on their debt securities.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Events of Default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You will have rights if an Event of Default occurs in respect of the debt securities of your series and is not cured, as described later in this subsection.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term “Event of Default” in respect of the debt securities of your series means any of the following (unless the prospectus supplement relating to such debt securities states otherwise): </w:t>
      </w:r>
    </w:p>
    <w:tbl>
      <w:tblPr>
        <w:tblW w:w="9805" w:type="dxa"/>
        <w:jc w:val="left"/>
        <w:tblInd w:w="200" w:type="dxa"/>
        <w:tblLayout w:type="fixed"/>
        <w:tblCellMar>
          <w:top w:w="28" w:type="dxa"/>
          <w:left w:w="28" w:type="dxa"/>
          <w:bottom w:w="28" w:type="dxa"/>
          <w:right w:w="28" w:type="dxa"/>
        </w:tblCellMar>
      </w:tblPr>
      <w:tblGrid>
        <w:gridCol w:w="124"/>
        <w:gridCol w:w="315"/>
        <w:gridCol w:w="9366"/>
      </w:tblGrid>
      <w:tr>
        <w:trPr/>
        <w:tc>
          <w:tcPr>
            <w:tcW w:w="124" w:type="dxa"/>
            <w:tcBorders/>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(1)</w:t>
            </w:r>
          </w:p>
        </w:tc>
        <w:tc>
          <w:tcPr>
            <w:tcW w:w="9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default in the payment of any interest upon a debt securities of the series when due and payable and the default continues for a period of 30 days; </w:t>
            </w:r>
          </w:p>
        </w:tc>
      </w:tr>
    </w:tbl>
    <w:tbl>
      <w:tblPr>
        <w:tblW w:w="9805" w:type="dxa"/>
        <w:jc w:val="left"/>
        <w:tblInd w:w="200" w:type="dxa"/>
        <w:tblLayout w:type="fixed"/>
        <w:tblCellMar>
          <w:top w:w="28" w:type="dxa"/>
          <w:left w:w="28" w:type="dxa"/>
          <w:bottom w:w="28" w:type="dxa"/>
          <w:right w:w="28" w:type="dxa"/>
        </w:tblCellMar>
      </w:tblPr>
      <w:tblGrid>
        <w:gridCol w:w="124"/>
        <w:gridCol w:w="295"/>
        <w:gridCol w:w="9386"/>
      </w:tblGrid>
      <w:tr>
        <w:trPr/>
        <w:tc>
          <w:tcPr>
            <w:tcW w:w="124" w:type="dxa"/>
            <w:tcBorders/>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(2)</w:t>
            </w:r>
          </w:p>
        </w:tc>
        <w:tc>
          <w:tcPr>
            <w:tcW w:w="9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default in the payment of the principal of (or premium, if any, on) a debt security of the series when it becomes due and payable at its maturity, including upon any redemption date or required repurchase date, and the default continues for a period of five days; </w:t>
            </w:r>
          </w:p>
        </w:tc>
      </w:tr>
    </w:tbl>
    <w:tbl>
      <w:tblPr>
        <w:tblW w:w="9805" w:type="dxa"/>
        <w:jc w:val="left"/>
        <w:tblInd w:w="200" w:type="dxa"/>
        <w:tblLayout w:type="fixed"/>
        <w:tblCellMar>
          <w:top w:w="28" w:type="dxa"/>
          <w:left w:w="28" w:type="dxa"/>
          <w:bottom w:w="28" w:type="dxa"/>
          <w:right w:w="28" w:type="dxa"/>
        </w:tblCellMar>
      </w:tblPr>
      <w:tblGrid>
        <w:gridCol w:w="124"/>
        <w:gridCol w:w="291"/>
        <w:gridCol w:w="93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(3)</w:t>
            </w:r>
          </w:p>
        </w:tc>
        <w:tc>
          <w:tcPr>
            <w:tcW w:w="93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for 60 consecutive days after written notice from the trustee or the holders of at least 25% in principal amount of the debt securities of the series then outstanding to us and the trustee, as applicable, has been received to comply with any of our other agreements with respect to debt securities of the series;</w:t>
            </w:r>
          </w:p>
        </w:tc>
      </w:tr>
    </w:tbl>
    <w:tbl>
      <w:tblPr>
        <w:tblW w:w="9805" w:type="dxa"/>
        <w:jc w:val="left"/>
        <w:tblInd w:w="200" w:type="dxa"/>
        <w:tblLayout w:type="fixed"/>
        <w:tblCellMar>
          <w:top w:w="28" w:type="dxa"/>
          <w:left w:w="28" w:type="dxa"/>
          <w:bottom w:w="28" w:type="dxa"/>
          <w:right w:w="28" w:type="dxa"/>
        </w:tblCellMar>
      </w:tblPr>
      <w:tblGrid>
        <w:gridCol w:w="124"/>
        <w:gridCol w:w="287"/>
        <w:gridCol w:w="93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(4)</w:t>
            </w:r>
          </w:p>
        </w:tc>
        <w:tc>
          <w:tcPr>
            <w:tcW w:w="93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w:t>
            </w:r>
          </w:p>
        </w:tc>
      </w:tr>
    </w:tbl>
    <w:tbl>
      <w:tblPr>
        <w:tblW w:w="9805" w:type="dxa"/>
        <w:jc w:val="left"/>
        <w:tblInd w:w="200" w:type="dxa"/>
        <w:tblLayout w:type="fixed"/>
        <w:tblCellMar>
          <w:top w:w="28" w:type="dxa"/>
          <w:left w:w="28" w:type="dxa"/>
          <w:bottom w:w="28" w:type="dxa"/>
          <w:right w:w="28" w:type="dxa"/>
        </w:tblCellMar>
      </w:tblPr>
      <w:tblGrid>
        <w:gridCol w:w="124"/>
        <w:gridCol w:w="310"/>
        <w:gridCol w:w="9371"/>
      </w:tblGrid>
      <w:tr>
        <w:trPr/>
        <w:tc>
          <w:tcPr>
            <w:tcW w:w="124" w:type="dxa"/>
            <w:tcBorders/>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(5)</w:t>
            </w:r>
          </w:p>
        </w:tc>
        <w:tc>
          <w:tcPr>
            <w:tcW w:w="9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for bankruptcy or certain events of bankruptcy, insolvency, or reorganization involving us occur and remain undischarged or unstayed for a period of 60 days; </w:t>
            </w:r>
          </w:p>
        </w:tc>
      </w:tr>
    </w:tbl>
    <w:tbl>
      <w:tblPr>
        <w:tblW w:w="9805" w:type="dxa"/>
        <w:jc w:val="left"/>
        <w:tblInd w:w="200" w:type="dxa"/>
        <w:tblLayout w:type="fixed"/>
        <w:tblCellMar>
          <w:top w:w="28" w:type="dxa"/>
          <w:left w:w="28" w:type="dxa"/>
          <w:bottom w:w="28" w:type="dxa"/>
          <w:right w:w="28" w:type="dxa"/>
        </w:tblCellMar>
      </w:tblPr>
      <w:tblGrid>
        <w:gridCol w:w="124"/>
        <w:gridCol w:w="315"/>
        <w:gridCol w:w="9366"/>
      </w:tblGrid>
      <w:tr>
        <w:trPr/>
        <w:tc>
          <w:tcPr>
            <w:tcW w:w="124" w:type="dxa"/>
            <w:tcBorders/>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(6)</w:t>
            </w:r>
          </w:p>
        </w:tc>
        <w:tc>
          <w:tcPr>
            <w:tcW w:w="9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do not deposit any sinking fund payment in respect of debt securities of the series on its due date, and do not cure this default within five days; and </w:t>
            </w:r>
          </w:p>
        </w:tc>
      </w:tr>
    </w:tbl>
    <w:tbl>
      <w:tblPr>
        <w:tblW w:w="9805" w:type="dxa"/>
        <w:jc w:val="left"/>
        <w:tblInd w:w="200" w:type="dxa"/>
        <w:tblLayout w:type="fixed"/>
        <w:tblCellMar>
          <w:top w:w="28" w:type="dxa"/>
          <w:left w:w="28" w:type="dxa"/>
          <w:bottom w:w="28" w:type="dxa"/>
          <w:right w:w="28" w:type="dxa"/>
        </w:tblCellMar>
      </w:tblPr>
      <w:tblGrid>
        <w:gridCol w:w="124"/>
        <w:gridCol w:w="324"/>
        <w:gridCol w:w="93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(7)</w:t>
            </w:r>
          </w:p>
        </w:tc>
        <w:tc>
          <w:tcPr>
            <w:tcW w:w="93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Event of Default in respect of debt securities of the series described in the applicable prospectus supplement occurs.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in good faith considers the withholding of notice to be in the interests of the holders. </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Remedies If an Event of Default Occurs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an Event of Default has occurred and has not been cured, the trustee or the holders of at least 25% in principal amount of the outstanding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If indemnity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Before you are allowed to bypass your trustee and bring your own lawsuit or other formal legal action or take other steps to enforce your rights or protect your interests relating to the debt securities, the following must occur: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must give your trustee written notice that an Event of Default with respect to the relevant series of debt securities has occurred and remains uncured.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at least 25% in principal amount of all outstanding debt securities of the relevant series must make a written request that the trustee take action because of the default and must offer to the trustee security or indemnity satisfactory to it against the cost, expenses, and other liabilities of taking that action.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must not have taken action for 60 days after receipt of the above notice and offer of security or indemnity.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a majority in principal amount of the debt securities of that series must not have given the trustee a direction inconsistent with the above notice during that 60-day period.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However, you are entitled at any time to bring a lawsuit for the payment of money due on your debt securities on or after the due date.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Holders of a majority in principal amount of the debt securities of the affected series may waive any past defaults other than a default </w:t>
      </w:r>
    </w:p>
    <w:tbl>
      <w:tblPr>
        <w:tblW w:w="5046" w:type="dxa"/>
        <w:jc w:val="left"/>
        <w:tblInd w:w="20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payment of principal, any premium, or interest or </w:t>
            </w:r>
          </w:p>
        </w:tc>
      </w:tr>
    </w:tbl>
    <w:tbl>
      <w:tblPr>
        <w:tblW w:w="8361" w:type="dxa"/>
        <w:jc w:val="left"/>
        <w:tblInd w:w="20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respect of a covenant that cannot be modified or amended without the consent of each holder. </w:t>
            </w:r>
          </w:p>
        </w:tc>
      </w:tr>
    </w:tbl>
    <w:p>
      <w:pPr>
        <w:pStyle w:val="TextBody"/>
        <w:bidi w:val="0"/>
        <w:spacing w:lineRule="auto" w:line="285" w:before="0" w:after="240"/>
        <w:ind w:left="200" w:right="200" w:firstLine="360"/>
        <w:jc w:val="left"/>
        <w:rPr>
          <w:rFonts w:ascii="Times New Roman;Times;serif" w:hAnsi="Times New Roman;Times;serif"/>
          <w:b/>
          <w:sz w:val="20"/>
        </w:rPr>
      </w:pPr>
      <w:r>
        <w:rPr>
          <w:rFonts w:ascii="Times New Roman;Times;serif" w:hAnsi="Times New Roman;Times;serif"/>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Merger, Consolidation or Sale of Assets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Unless the prospectus supplement relating to certain debt securities states otherwise, the indenture will provide that we will not merge or consolidate with or into any other person (other than a merger of a wholly-owned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wholly-owned subsidiary of the Company) in any one transaction or series of related transactions unless: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before and immediately after giving effect to such transaction or series of related transactions, no default or Event of Default shall have occurred and be continuing; and </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Modification or Waiver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There are three types of changes we can make to the indenture and the debt securities issued thereunder.</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Changes Requiring Approval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First, there are changes that we cannot make to the debt securities without the specific approval by the holders of debt securities. The following is a list of those types of changes: </w:t>
      </w:r>
    </w:p>
    <w:tbl>
      <w:tblPr>
        <w:tblW w:w="6906" w:type="dxa"/>
        <w:jc w:val="left"/>
        <w:tblInd w:w="20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the stated maturity of the principal of or interest on the debt securities; </w:t>
            </w:r>
          </w:p>
        </w:tc>
      </w:tr>
    </w:tbl>
    <w:tbl>
      <w:tblPr>
        <w:tblW w:w="4371" w:type="dxa"/>
        <w:jc w:val="left"/>
        <w:tblInd w:w="20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 any amounts due on the debt securities; </w:t>
            </w:r>
          </w:p>
        </w:tc>
      </w:tr>
    </w:tbl>
    <w:tbl>
      <w:tblPr>
        <w:tblW w:w="9186" w:type="dxa"/>
        <w:jc w:val="left"/>
        <w:tblInd w:w="20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 the amount of principal payable upon acceleration of the maturity of a security following a default; </w:t>
            </w:r>
          </w:p>
        </w:tc>
      </w:tr>
    </w:tbl>
    <w:tbl>
      <w:tblPr>
        <w:tblW w:w="5586" w:type="dxa"/>
        <w:jc w:val="left"/>
        <w:tblInd w:w="20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adversely affect any right of repayment at the holder’s option;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the place (except as otherwise described in the prospectus or prospectus supplement) or currency of payment on a debt security; </w:t>
            </w:r>
          </w:p>
        </w:tc>
      </w:tr>
    </w:tbl>
    <w:tbl>
      <w:tblPr>
        <w:tblW w:w="3561" w:type="dxa"/>
        <w:jc w:val="left"/>
        <w:tblInd w:w="20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 your right to sue for payment; </w:t>
            </w:r>
          </w:p>
        </w:tc>
      </w:tr>
    </w:tbl>
    <w:tbl>
      <w:tblPr>
        <w:tblW w:w="8121" w:type="dxa"/>
        <w:jc w:val="left"/>
        <w:tblInd w:w="20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adversely affect any right to convert or exchange a debt security in accordance with its terms;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modify the subordination provisions in the indenture in a manner that is adverse to outstanding holders of the debt securities; </w:t>
            </w:r>
          </w:p>
        </w:tc>
      </w:tr>
    </w:tbl>
    <w:tbl>
      <w:tblPr>
        <w:tblW w:w="9486" w:type="dxa"/>
        <w:jc w:val="left"/>
        <w:tblInd w:w="20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 the percentage of holders of debt securities whose consent is needed to modify or amend the indenture;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 the percentage of holders of debt securities whose consent is needed to waive compliance with certain provisions of the indenture or to waive certain defaults;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modify certain of the provisions of the indenture dealing with supplemental indentures, modification and waiver of past defaults, changes to the quorum or voting requirements or the waiver of certain covenants; and </w:t>
            </w:r>
          </w:p>
        </w:tc>
      </w:tr>
    </w:tbl>
    <w:tbl>
      <w:tblPr>
        <w:tblW w:w="5331" w:type="dxa"/>
        <w:jc w:val="left"/>
        <w:tblInd w:w="20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any obligation we have to pay additional amounts. </w:t>
            </w:r>
          </w:p>
        </w:tc>
      </w:tr>
    </w:tbl>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Changes Not Requiring Approval </w:t>
      </w:r>
    </w:p>
    <w:p>
      <w:pPr>
        <w:pStyle w:val="TextBody"/>
        <w:bidi w:val="0"/>
        <w:spacing w:lineRule="auto" w:line="285"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events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of default. We also do not need any approval to make any change that affects only debt securities to be issued under the indenture after the change takes effect. </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Changes Requiring Majority Approval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Any other change to the indenture and the debt securities would require the following approval: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change affects only one series of debt securities, it must be approved by the holders of a majority in principal amount of that series.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w:t>
      </w:r>
      <w:r>
        <w:rPr>
          <w:rFonts w:ascii="Times New Roman;Times;serif" w:hAnsi="Times New Roman;Times;serif"/>
          <w:i/>
          <w:sz w:val="20"/>
        </w:rPr>
        <w:t>Changes Requiring Your Approval</w:t>
      </w:r>
      <w:r>
        <w:rPr>
          <w:rFonts w:ascii="Times New Roman;Times;serif" w:hAnsi="Times New Roman;Times;serif"/>
          <w:sz w:val="20"/>
        </w:rPr>
        <w:t xml:space="preserve">.”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Further Details Concerning Voting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When taking a vote, we will use the following rules to decide how much principal to attribute to a debt security: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original issue discount securities, we will use the principal amount that would be due and payable on the voting date if the maturity of these debt securities were accelerated to that date because of a default.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debt securities whose principal amount is not known (for example, because it is based on an index), we will use a special rule for that debt security described in the prospectus supplement. </w:t>
            </w:r>
          </w:p>
        </w:tc>
      </w:tr>
    </w:tbl>
    <w:tbl>
      <w:tblPr>
        <w:tblW w:w="9036" w:type="dxa"/>
        <w:jc w:val="left"/>
        <w:tblInd w:w="20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debt securities denominated in one or more foreign currencies, we will use the U.S. dollar equivalent.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 </w:t>
            </w:r>
            <w:r>
              <w:rPr>
                <w:rFonts w:ascii="Times New Roman;Times;serif" w:hAnsi="Times New Roman;Times;serif"/>
                <w:b w:val="false"/>
                <w:i/>
                <w:sz w:val="20"/>
              </w:rPr>
              <w:t>Defeasance — Full Defeasance</w:t>
            </w:r>
            <w:r>
              <w:rPr>
                <w:rFonts w:ascii="Times New Roman;Times;serif" w:hAnsi="Times New Roman;Times;serif"/>
                <w:b w:val="false"/>
                <w:i w:val="false"/>
                <w:caps w:val="false"/>
                <w:smallCaps w:val="false"/>
                <w:sz w:val="20"/>
              </w:rPr>
              <w:t xml:space="preserve">.”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Satisfaction and Discharge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satisfy and discharge our obligations under the indenture by delivering to the securities registrar for cancellation all debt securities of the series then outstanding or by depositing with the trustee, in trust, funds in U.S. dollars in an amount sufficient to pay all of the debt securities of the series then outstanding after such debt securities have become due and payable or will become due and payable within one year (or scheduled for redemption within one year). Such discharge is subject to terms contained in the indenture.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Defeasance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Covenant Defeasance </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 xml:space="preserve">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 </w:t>
      </w:r>
      <w:r>
        <w:rPr>
          <w:rFonts w:ascii="Times New Roman;Times;serif" w:hAnsi="Times New Roman;Times;serif"/>
          <w:i/>
          <w:sz w:val="20"/>
        </w:rPr>
        <w:t>Indenture Provisions — Subordination</w:t>
      </w:r>
      <w:r>
        <w:rPr>
          <w:rFonts w:ascii="Aptos" w:hAnsi="Aptos"/>
          <w:sz w:val="20"/>
        </w:rPr>
        <w:t xml:space="preserve">” </w:t>
      </w:r>
      <w:r>
        <w:rPr>
          <w:rFonts w:ascii="Times New Roman;Times;serif" w:hAnsi="Times New Roman;Times;serif"/>
          <w:sz w:val="20"/>
        </w:rPr>
        <w:t xml:space="preserve">below. In order to achieve covenant defeasance, we must do the following: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must 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debt securities any differently than if we did not make the deposit and repaid the debt securities at maturity.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must deliver to the trustee a legal opinion and officers’ certificate stating that all conditions precedent to covenant defeasance have been complied with.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Covenant defeasance must not result in a breach or violation of, or result in a default under, the indenture or any of our other material agreements or instruments.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default or Event of Default with respect to such debt securities and any coupons appertaining thereto shall have occurred and be continuing and no defaults or events of default related to bankruptcy, insolvency or reorganization shall occur during the next 90 days. </w:t>
            </w:r>
          </w:p>
        </w:tc>
      </w:tr>
    </w:tbl>
    <w:tbl>
      <w:tblPr>
        <w:tblW w:w="7836" w:type="dxa"/>
        <w:jc w:val="left"/>
        <w:tblInd w:w="20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Satisfy the conditions for covenant defeasance contained in any supplemental indentures.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lineRule="auto" w:line="285" w:before="0" w:after="240"/>
        <w:ind w:left="200" w:right="200" w:hanging="0"/>
        <w:jc w:val="left"/>
        <w:rPr>
          <w:rFonts w:ascii="Times New Roman;Times;serif" w:hAnsi="Times New Roman;Times;serif"/>
          <w:b/>
          <w:i/>
          <w:sz w:val="20"/>
        </w:rPr>
      </w:pPr>
      <w:r>
        <w:rPr>
          <w:rFonts w:ascii="Times New Roman;Times;serif" w:hAnsi="Times New Roman;Times;serif"/>
          <w:b/>
          <w:i/>
          <w:sz w:val="20"/>
        </w:rPr>
        <w:t xml:space="preserve">Legal Defeasance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there is a change in U.S. federal tax law or we obtain an IRS ruling, as described below, we can legally release ourselves from all payment and other obligations on the debt securities of a particular series (called “defeasance” or “legal defeasance”) if we put in place the following other arrangements for you to be repaid: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must deliver to the trustee a legal opinion and officers’ certificate stating that all conditions precedent to defeasance have been complied with.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Defeasance must not result in a breach or violation of, or result in a default under, the indenture or any of our other material agreements or instruments.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default or Event of Default with respect to such debt securities and any coupons appertaining thereto shall have occurred and be continuing and no defaults or events of default related to bankruptcy, insolvency or reorganization shall occur during the next 90 days. </w:t>
            </w:r>
          </w:p>
        </w:tc>
      </w:tr>
    </w:tbl>
    <w:tbl>
      <w:tblPr>
        <w:tblW w:w="7836" w:type="dxa"/>
        <w:jc w:val="left"/>
        <w:tblInd w:w="20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Satisfy the conditions for covenant defeasance contained in any supplemental indentures. </w:t>
            </w:r>
          </w:p>
        </w:tc>
      </w:tr>
    </w:tbl>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rPr>
        <w:t>If we ever accomplished legal defeasance, as described above, you would have to rely solely on the trust deposit for repayment of your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w:t>
      </w:r>
      <w:r>
        <w:rPr>
          <w:rFonts w:ascii="Times New Roman;Times;serif" w:hAnsi="Times New Roman;Times;serif"/>
          <w:i/>
          <w:sz w:val="20"/>
        </w:rPr>
        <w:t>Indenture Provisions — Subordination</w:t>
      </w:r>
      <w:r>
        <w:rPr>
          <w:rFonts w:ascii="Aptos" w:hAnsi="Aptos"/>
          <w:sz w:val="20"/>
        </w:rPr>
        <w:t>”</w:t>
      </w:r>
      <w:r>
        <w:rPr>
          <w:rFonts w:ascii="Times New Roman;Times;serif" w:hAnsi="Times New Roman;Times;serif"/>
          <w:sz w:val="20"/>
        </w:rPr>
        <w:t xml:space="preserve">.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Form, Exchange and Transfer of Certificated Registered Securities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If registered debt securities cease to be issued in book-entry form, they will be issued:</w:t>
      </w:r>
    </w:p>
    <w:tbl>
      <w:tblPr>
        <w:tblW w:w="3861" w:type="dxa"/>
        <w:jc w:val="left"/>
        <w:tblInd w:w="20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in fully registered certificated form, </w:t>
            </w:r>
          </w:p>
        </w:tc>
      </w:tr>
    </w:tbl>
    <w:tbl>
      <w:tblPr>
        <w:tblW w:w="2976" w:type="dxa"/>
        <w:jc w:val="left"/>
        <w:tblInd w:w="20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interest coupons, and </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we indicate otherwise in the prospectus supplement, in denominations of $1,000 and amounts that are multiples of $1,000.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Resignation of Trustee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Indenture Provisions — Subordination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bidi w:val="0"/>
        <w:spacing w:lineRule="auto" w:line="285" w:before="0" w:after="240"/>
        <w:ind w:left="200" w:right="200" w:firstLine="360"/>
        <w:jc w:val="left"/>
        <w:rPr/>
      </w:pPr>
      <w:r>
        <w:rPr/>
        <w:t>“</w:t>
      </w:r>
      <w:r>
        <w:rPr>
          <w:rFonts w:ascii="Times New Roman;Times;serif" w:hAnsi="Times New Roman;Times;serif"/>
          <w:sz w:val="20"/>
        </w:rPr>
        <w:t xml:space="preserve">Senior Indebtedness” is defined in the indenture as the principal of (and premium, if any) and unpaid interest on: </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p>
        </w:tc>
      </w:tr>
    </w:tbl>
    <w:tbl>
      <w:tblPr>
        <w:tblW w:w="7116" w:type="dxa"/>
        <w:jc w:val="left"/>
        <w:tblInd w:w="20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renewals, extensions, modifications and refinancings of any of this indebtedness.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Secured Indebtedness and Ranking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 </w:t>
      </w:r>
    </w:p>
    <w:p>
      <w:pPr>
        <w:pStyle w:val="TextBody"/>
        <w:bidi w:val="0"/>
        <w:spacing w:lineRule="auto" w:line="285" w:before="0" w:after="0"/>
        <w:ind w:left="200" w:right="200" w:firstLine="360"/>
        <w:jc w:val="left"/>
        <w:rPr>
          <w:rFonts w:ascii="Times New Roman;Times;serif" w:hAnsi="Times New Roman;Times;serif"/>
          <w:sz w:val="20"/>
        </w:rPr>
      </w:pPr>
      <w:r>
        <w:rPr>
          <w:rFonts w:ascii="Times New Roman;Times;serif" w:hAnsi="Times New Roman;Times;serif"/>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Times New Roman;Times;serif" w:hAnsi="Times New Roman;Times;serif"/>
          <w:sz w:val="20"/>
        </w:rPr>
      </w:pPr>
      <w:r>
        <w:rPr>
          <w:rFonts w:ascii="Times New Roman;Times;serif" w:hAnsi="Times New Roman;Times;serif"/>
          <w:sz w:val="20"/>
        </w:rPr>
        <w:t xml:space="preserve">future indebtedness (including trade payables) incurred by our subsidiaries, financing vehicles or similar facilities, with respect to claims on the assets of any such subsidiaries, financing vehicles, or similar facilities.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The Trustee under the Indenture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intend to use a nationally recognized financial institution to serve as the trustee under the indenture.</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Certain Considerations Relating To Foreign Currencies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lineRule="auto" w:line="285" w:before="0" w:after="240"/>
        <w:ind w:left="200" w:right="200" w:hanging="0"/>
        <w:jc w:val="left"/>
        <w:rPr>
          <w:rFonts w:ascii="Times New Roman;Times;serif" w:hAnsi="Times New Roman;Times;serif"/>
          <w:b/>
          <w:sz w:val="20"/>
        </w:rPr>
      </w:pPr>
      <w:r>
        <w:rPr>
          <w:rFonts w:ascii="Times New Roman;Times;serif" w:hAnsi="Times New Roman;Times;serif"/>
          <w:b/>
          <w:sz w:val="20"/>
        </w:rPr>
        <w:t xml:space="preserve">Book-Entry Debt Securities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DTC has advised us that it is: </w:t>
      </w:r>
    </w:p>
    <w:tbl>
      <w:tblPr>
        <w:tblW w:w="7341" w:type="dxa"/>
        <w:jc w:val="left"/>
        <w:tblInd w:w="20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limited purpose trust company organized under the laws of the State of New York; </w:t>
            </w:r>
          </w:p>
        </w:tc>
      </w:tr>
    </w:tbl>
    <w:tbl>
      <w:tblPr>
        <w:tblW w:w="7281" w:type="dxa"/>
        <w:jc w:val="left"/>
        <w:tblInd w:w="20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“banking organization” within the meaning of the New York State Banking Law; </w:t>
            </w:r>
          </w:p>
        </w:tc>
      </w:tr>
    </w:tbl>
    <w:tbl>
      <w:tblPr>
        <w:tblW w:w="3891" w:type="dxa"/>
        <w:jc w:val="left"/>
        <w:tblInd w:w="20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of the Federal Reserve System; </w:t>
            </w:r>
          </w:p>
        </w:tc>
      </w:tr>
    </w:tbl>
    <w:tbl>
      <w:tblPr>
        <w:tblW w:w="7311" w:type="dxa"/>
        <w:jc w:val="left"/>
        <w:tblInd w:w="20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“clearing corporation” within the meaning of the Uniform Commercial Code; and </w:t>
            </w:r>
          </w:p>
        </w:tc>
      </w:tr>
    </w:tbl>
    <w:tbl>
      <w:tblPr>
        <w:tblW w:w="6321" w:type="dxa"/>
        <w:jc w:val="left"/>
        <w:tblInd w:w="20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“clearing agency” registered under Section 17A of the Exchange Act. </w:t>
            </w:r>
          </w:p>
        </w:tc>
      </w:tr>
    </w:tbl>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or Direct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lineRule="auto" w:line="328" w:before="0" w:after="160"/>
        <w:ind w:left="200" w:right="200" w:firstLine="360"/>
        <w:jc w:val="left"/>
        <w:rPr>
          <w:color w:val="231F20"/>
        </w:rPr>
      </w:pPr>
      <w:r>
        <w:rPr>
          <w:color w:val="231F20"/>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47" w:name="REGULATION_247825"/>
      <w:bookmarkStart w:id="448" w:name="_2fd6475d_4e88_4855_9074_a2c3b54fd860"/>
      <w:bookmarkStart w:id="449" w:name="_Toc187499191"/>
      <w:bookmarkEnd w:id="447"/>
      <w:bookmarkEnd w:id="448"/>
      <w:bookmarkEnd w:id="449"/>
      <w:r>
        <w:rPr>
          <w:rFonts w:ascii="Times New Roman;Times;serif" w:hAnsi="Times New Roman;Times;serif"/>
          <w:b/>
          <w:sz w:val="20"/>
        </w:rPr>
        <w:t>REGULATION</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sz w:val="20"/>
          <w:shd w:fill="FFFFFF" w:val="clear"/>
        </w:rPr>
        <w:t xml:space="preserve">The </w:t>
      </w:r>
      <w:r>
        <w:rPr>
          <w:rFonts w:ascii="Times New Roman;Times;serif" w:hAnsi="Times New Roman;Times;serif"/>
          <w:sz w:val="20"/>
        </w:rPr>
        <w:t>information</w:t>
      </w:r>
      <w:r>
        <w:rPr>
          <w:rFonts w:ascii="Aptos" w:hAnsi="Aptos"/>
          <w:sz w:val="20"/>
          <w:shd w:fill="FFFFFF" w:val="clear"/>
        </w:rPr>
        <w:t xml:space="preserve"> </w:t>
      </w:r>
      <w:r>
        <w:rPr>
          <w:rFonts w:ascii="Times New Roman;Times;serif" w:hAnsi="Times New Roman;Times;serif"/>
          <w:sz w:val="20"/>
          <w:shd w:fill="FFFFFF" w:val="clear"/>
        </w:rPr>
        <w:t>contained in “</w:t>
      </w:r>
      <w:r>
        <w:rPr>
          <w:rFonts w:ascii="Times New Roman;Times;serif" w:hAnsi="Times New Roman;Times;serif"/>
          <w:i/>
          <w:sz w:val="20"/>
          <w:shd w:fill="FFFFFF" w:val="clear"/>
        </w:rPr>
        <w:t>Part I, Item 1. Business—Regulation as a Business Development Company</w:t>
      </w:r>
      <w:r>
        <w:rPr>
          <w:rFonts w:ascii="Aptos" w:hAnsi="Aptos"/>
          <w:sz w:val="20"/>
          <w:shd w:fill="FFFFFF" w:val="clear"/>
        </w:rPr>
        <w:t xml:space="preserve">” </w:t>
      </w:r>
      <w:r>
        <w:rPr>
          <w:rFonts w:ascii="Times New Roman;Times;serif" w:hAnsi="Times New Roman;Times;serif"/>
          <w:sz w:val="20"/>
          <w:shd w:fill="FFFFFF" w:val="clear"/>
        </w:rPr>
        <w:t xml:space="preserve">of our most recent Annual </w:t>
      </w:r>
      <w:r>
        <w:rPr>
          <w:rFonts w:ascii="Times New Roman;Times;serif" w:hAnsi="Times New Roman;Times;serif"/>
          <w:sz w:val="20"/>
        </w:rPr>
        <w:t>Report</w:t>
      </w:r>
      <w:r>
        <w:rPr>
          <w:rFonts w:ascii="Aptos" w:hAnsi="Aptos"/>
          <w:sz w:val="20"/>
          <w:shd w:fill="FFFFFF" w:val="clear"/>
        </w:rPr>
        <w:t xml:space="preserve"> </w:t>
      </w:r>
      <w:r>
        <w:rPr>
          <w:rFonts w:ascii="Times New Roman;Times;serif" w:hAnsi="Times New Roman;Times;serif"/>
          <w:sz w:val="20"/>
          <w:shd w:fill="FFFFFF" w:val="clear"/>
        </w:rPr>
        <w:t xml:space="preserve">on Form 10-K is incorporated herein by reference. </w:t>
      </w:r>
    </w:p>
    <w:p>
      <w:pPr>
        <w:pStyle w:val="TextBody"/>
        <w:bidi w:val="0"/>
        <w:spacing w:lineRule="auto" w:line="328" w:before="0" w:after="160"/>
        <w:ind w:left="200" w:right="200" w:firstLine="360"/>
        <w:jc w:val="left"/>
        <w:rPr>
          <w:color w:val="231F20"/>
        </w:rPr>
      </w:pPr>
      <w:r>
        <w:rPr>
          <w:color w:val="231F20"/>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50" w:name="PLANOFDISTRIBUTION_693318"/>
      <w:bookmarkStart w:id="451" w:name="_e425509e_efa9_4e44_ac29_d2a3e8d033dc"/>
      <w:bookmarkStart w:id="452" w:name="_Toc187499192"/>
      <w:bookmarkEnd w:id="450"/>
      <w:bookmarkEnd w:id="451"/>
      <w:bookmarkEnd w:id="452"/>
      <w:r>
        <w:rPr>
          <w:rFonts w:ascii="Times New Roman;Times;serif" w:hAnsi="Times New Roman;Times;serif"/>
          <w:b/>
          <w:sz w:val="20"/>
        </w:rPr>
        <w:t>PLAN OF DISTRIBUTION</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We may offer, from time to time, in one or more offerings or series, up to $250,000,000 of our common stock, </w:t>
      </w:r>
      <w:r>
        <w:rPr>
          <w:rFonts w:ascii="Times New Roman;Times;serif" w:hAnsi="Times New Roman;Times;serif"/>
          <w:sz w:val="20"/>
        </w:rPr>
        <w:t>preferred</w:t>
      </w:r>
      <w:r>
        <w:rPr>
          <w:rFonts w:ascii="Aptos" w:hAnsi="Aptos"/>
          <w:color w:val="231F20"/>
          <w:sz w:val="20"/>
        </w:rPr>
        <w:t xml:space="preserve"> </w:t>
      </w:r>
      <w:r>
        <w:rPr>
          <w:rFonts w:ascii="Times New Roman;Times;serif" w:hAnsi="Times New Roman;Times;serif"/>
          <w:color w:val="231F20"/>
          <w:sz w:val="20"/>
        </w:rPr>
        <w:t xml:space="preserve">stock, debt securities, subscription rights to purchase shares of our common stock or warrants representing rights to </w:t>
      </w:r>
      <w:r>
        <w:rPr>
          <w:rFonts w:ascii="Times New Roman;Times;serif" w:hAnsi="Times New Roman;Times;serif"/>
          <w:sz w:val="20"/>
        </w:rPr>
        <w:t>purchase</w:t>
      </w:r>
      <w:r>
        <w:rPr>
          <w:rFonts w:ascii="Aptos" w:hAnsi="Aptos"/>
          <w:color w:val="231F20"/>
          <w:sz w:val="20"/>
        </w:rPr>
        <w:t xml:space="preserve"> </w:t>
      </w:r>
      <w:r>
        <w:rPr>
          <w:rFonts w:ascii="Times New Roman;Times;serif" w:hAnsi="Times New Roman;Times;serif"/>
          <w:color w:val="231F20"/>
          <w:sz w:val="20"/>
        </w:rPr>
        <w:t>shares of our common stock, preferred stock or debt securities, in one or more underwritten public offerings, at-the-market offerings, negotiated transactions, block trades, best efforts offerings or a combination of these methods.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t>
      </w:r>
      <w:r>
        <w:rPr>
          <w:rFonts w:ascii="Times New Roman;Times;serif" w:hAnsi="Times New Roman;Times;serif"/>
          <w:sz w:val="20"/>
        </w:rPr>
        <w:t>will</w:t>
      </w:r>
      <w:r>
        <w:rPr>
          <w:rFonts w:ascii="Aptos" w:hAnsi="Aptos"/>
          <w:color w:val="231F20"/>
          <w:sz w:val="20"/>
        </w:rPr>
        <w:t xml:space="preserve"> </w:t>
      </w:r>
      <w:r>
        <w:rPr>
          <w:rFonts w:ascii="Times New Roman;Times;serif" w:hAnsi="Times New Roman;Times;serif"/>
          <w:color w:val="231F20"/>
          <w:sz w:val="20"/>
        </w:rPr>
        <w:t xml:space="preserve">be named in the </w:t>
      </w:r>
      <w:r>
        <w:rPr>
          <w:rFonts w:ascii="Times New Roman;Times;serif" w:hAnsi="Times New Roman;Times;serif"/>
          <w:sz w:val="20"/>
        </w:rPr>
        <w:t>applicable</w:t>
      </w:r>
      <w:r>
        <w:rPr>
          <w:rFonts w:ascii="Aptos" w:hAnsi="Aptos"/>
          <w:color w:val="231F20"/>
          <w:sz w:val="20"/>
        </w:rPr>
        <w:t xml:space="preserve"> </w:t>
      </w:r>
      <w:r>
        <w:rPr>
          <w:rFonts w:ascii="Times New Roman;Times;serif" w:hAnsi="Times New Roman;Times;serif"/>
          <w:color w:val="231F20"/>
          <w:sz w:val="20"/>
        </w:rPr>
        <w:t>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The distribution of the securities may be effected from time to time in one or more transactions at a fixed price or </w:t>
      </w:r>
      <w:r>
        <w:rPr>
          <w:rFonts w:ascii="Times New Roman;Times;serif" w:hAnsi="Times New Roman;Times;serif"/>
          <w:sz w:val="20"/>
        </w:rPr>
        <w:t>prices</w:t>
      </w:r>
      <w:r>
        <w:rPr>
          <w:rFonts w:ascii="Times New Roman;Times;serif" w:hAnsi="Times New Roman;Times;serif"/>
          <w:color w:val="231F20"/>
          <w:sz w:val="20"/>
        </w:rPr>
        <w:t xml:space="preserve">, which may be changed, at prevailing market prices at the time of sale, at prices related to such prevailing market prices, or at negotiated prices, provided, however, that the offering price per share of any common stock offered by us, </w:t>
      </w:r>
      <w:r>
        <w:rPr>
          <w:rFonts w:ascii="Times New Roman;Times;serif" w:hAnsi="Times New Roman;Times;serif"/>
          <w:sz w:val="20"/>
        </w:rPr>
        <w:t>less</w:t>
      </w:r>
      <w:r>
        <w:rPr>
          <w:rFonts w:ascii="Aptos" w:hAnsi="Aptos"/>
          <w:color w:val="231F20"/>
          <w:sz w:val="20"/>
        </w:rPr>
        <w:t xml:space="preserve"> </w:t>
      </w:r>
      <w:r>
        <w:rPr>
          <w:rFonts w:ascii="Times New Roman;Times;serif" w:hAnsi="Times New Roman;Times;serif"/>
          <w:color w:val="231F20"/>
          <w:sz w:val="20"/>
        </w:rPr>
        <w:t xml:space="preserve">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w:t>
      </w:r>
      <w:r>
        <w:rPr>
          <w:rFonts w:ascii="Times New Roman;Times;serif" w:hAnsi="Times New Roman;Times;serif"/>
          <w:sz w:val="20"/>
        </w:rPr>
        <w:t>market</w:t>
      </w:r>
      <w:r>
        <w:rPr>
          <w:rFonts w:ascii="Aptos" w:hAnsi="Aptos"/>
          <w:color w:val="231F20"/>
          <w:sz w:val="20"/>
        </w:rPr>
        <w:t xml:space="preserve"> </w:t>
      </w:r>
      <w:r>
        <w:rPr>
          <w:rFonts w:ascii="Times New Roman;Times;serif" w:hAnsi="Times New Roman;Times;serif"/>
          <w:color w:val="231F20"/>
          <w:sz w:val="20"/>
        </w:rPr>
        <w:t>prices.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w:t>
      </w:r>
      <w:r>
        <w:rPr>
          <w:rFonts w:ascii="Times New Roman;Times;serif" w:hAnsi="Times New Roman;Times;serif"/>
          <w:sz w:val="20"/>
        </w:rPr>
        <w:t>compensation</w:t>
      </w:r>
      <w:r>
        <w:rPr>
          <w:rFonts w:ascii="Aptos" w:hAnsi="Aptos"/>
          <w:color w:val="231F20"/>
          <w:sz w:val="20"/>
        </w:rPr>
        <w:t xml:space="preserve"> </w:t>
      </w:r>
      <w:r>
        <w:rPr>
          <w:rFonts w:ascii="Times New Roman;Times;serif" w:hAnsi="Times New Roman;Times;serif"/>
          <w:color w:val="231F20"/>
          <w:sz w:val="20"/>
        </w:rPr>
        <w:t>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independent broker-dealer will not be greater than 10% of the gross proceeds of the sale of securities offered pursuant to this prospectus and any applicable prospectus supplement. We may also reimburse the underwriter or agent for certain fees and legal expenses incurred by it.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Any underwriter may engage in over-allotment, stabilizing transactions, short-covering transactions and penalty </w:t>
      </w:r>
      <w:r>
        <w:rPr>
          <w:rFonts w:ascii="Times New Roman;Times;serif" w:hAnsi="Times New Roman;Times;serif"/>
          <w:sz w:val="20"/>
        </w:rPr>
        <w:t>bids</w:t>
      </w:r>
      <w:r>
        <w:rPr>
          <w:rFonts w:ascii="Aptos" w:hAnsi="Aptos"/>
          <w:color w:val="231F20"/>
          <w:sz w:val="20"/>
        </w:rPr>
        <w:t xml:space="preserve"> </w:t>
      </w:r>
      <w:r>
        <w:rPr>
          <w:rFonts w:ascii="Times New Roman;Times;serif" w:hAnsi="Times New Roman;Times;serif"/>
          <w:color w:val="231F20"/>
          <w:sz w:val="20"/>
        </w:rPr>
        <w:t xml:space="preserve">in accordance with Regulation M under the Exchange Act. Over-allotment involves sales in excess of the offering size, which create a short position. Stabilizing transactions permit bids to purchase the underlying security so long as the </w:t>
      </w:r>
      <w:r>
        <w:rPr>
          <w:rFonts w:ascii="Times New Roman;Times;serif" w:hAnsi="Times New Roman;Times;serif"/>
          <w:sz w:val="20"/>
        </w:rPr>
        <w:t>stabilizing</w:t>
      </w:r>
      <w:r>
        <w:rPr>
          <w:rFonts w:ascii="Aptos" w:hAnsi="Aptos"/>
          <w:color w:val="231F20"/>
          <w:sz w:val="20"/>
        </w:rPr>
        <w:t xml:space="preserve"> </w:t>
      </w:r>
      <w:r>
        <w:rPr>
          <w:rFonts w:ascii="Times New Roman;Times;serif" w:hAnsi="Times New Roman;Times;serif"/>
          <w:color w:val="231F20"/>
          <w:sz w:val="20"/>
        </w:rPr>
        <w:t>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We may sell securities directly or through agents we designate from time to time. We will name any agent involved in the </w:t>
      </w:r>
      <w:r>
        <w:rPr>
          <w:rFonts w:ascii="Times New Roman;Times;serif" w:hAnsi="Times New Roman;Times;serif"/>
          <w:sz w:val="20"/>
        </w:rPr>
        <w:t>offering</w:t>
      </w:r>
      <w:r>
        <w:rPr>
          <w:rFonts w:ascii="Aptos" w:hAnsi="Aptos"/>
          <w:color w:val="231F20"/>
          <w:sz w:val="20"/>
        </w:rPr>
        <w:t xml:space="preserve"> </w:t>
      </w:r>
      <w:r>
        <w:rPr>
          <w:rFonts w:ascii="Times New Roman;Times;serif" w:hAnsi="Times New Roman;Times;serif"/>
          <w:color w:val="231F20"/>
          <w:sz w:val="20"/>
        </w:rPr>
        <w:t>and sale of securities and we will describe any commissions we will pay the agent in the prospectus supplement. Unless the prospectus supplement states otherwise, the agent will act on a best-efforts basis for the period of its appointment.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Unless otherwise specified in the applicable prospectus supplement, each class or series of securities will be a new issue with no trading market, other than our common stock, which is traded on Nasdaq. We may elect to list any other class or series of securities on any exchanges, but we are not obligated to do so. We cannot guarantee the liquidity of the trading markets for any securities.</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Under agreements that we may enter, underwriters, dealers and agents who participate in the distribution of the securities may be </w:t>
      </w:r>
      <w:r>
        <w:rPr>
          <w:rFonts w:ascii="Times New Roman;Times;serif" w:hAnsi="Times New Roman;Times;serif"/>
          <w:sz w:val="20"/>
        </w:rPr>
        <w:t>entitled</w:t>
      </w:r>
      <w:r>
        <w:rPr>
          <w:rFonts w:ascii="Aptos" w:hAnsi="Aptos"/>
          <w:color w:val="231F20"/>
          <w:sz w:val="20"/>
        </w:rPr>
        <w:t xml:space="preserve"> </w:t>
      </w:r>
      <w:r>
        <w:rPr>
          <w:rFonts w:ascii="Times New Roman;Times;serif" w:hAnsi="Times New Roman;Times;serif"/>
          <w:color w:val="231F20"/>
          <w:sz w:val="20"/>
        </w:rPr>
        <w:t xml:space="preserve">to indemnification by us against certain liabilities, including liabilities under the </w:t>
      </w:r>
      <w:r>
        <w:rPr>
          <w:rFonts w:ascii="Times New Roman;Times;serif" w:hAnsi="Times New Roman;Times;serif"/>
          <w:sz w:val="20"/>
        </w:rPr>
        <w:t>Securities</w:t>
      </w:r>
      <w:r>
        <w:rPr>
          <w:rFonts w:ascii="Aptos" w:hAnsi="Aptos"/>
          <w:color w:val="231F20"/>
          <w:sz w:val="20"/>
        </w:rPr>
        <w:t xml:space="preserve"> </w:t>
      </w:r>
      <w:r>
        <w:rPr>
          <w:rFonts w:ascii="Times New Roman;Times;serif" w:hAnsi="Times New Roman;Times;serif"/>
          <w:color w:val="231F20"/>
          <w:sz w:val="20"/>
        </w:rPr>
        <w:t>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If so indicated in the applicable prospectus supplement, we will authorize underwriters or other persons acting as agents to solicit </w:t>
      </w:r>
      <w:r>
        <w:rPr>
          <w:rFonts w:ascii="Times New Roman;Times;serif" w:hAnsi="Times New Roman;Times;serif"/>
          <w:sz w:val="20"/>
        </w:rPr>
        <w:t>offers</w:t>
      </w:r>
      <w:r>
        <w:rPr>
          <w:rFonts w:ascii="Aptos" w:hAnsi="Aptos"/>
          <w:color w:val="231F20"/>
          <w:sz w:val="20"/>
        </w:rPr>
        <w:t xml:space="preserve"> </w:t>
      </w:r>
      <w:r>
        <w:rPr>
          <w:rFonts w:ascii="Times New Roman;Times;serif" w:hAnsi="Times New Roman;Times;serif"/>
          <w:color w:val="231F20"/>
          <w:sz w:val="20"/>
        </w:rPr>
        <w:t>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We may enter into derivative transactions with third parties, or sell securities not covered by this prospectus to third parties in privately negotiated transactions. If the applicable prospectus supplement indicates, in connection with those </w:t>
      </w:r>
      <w:r>
        <w:rPr>
          <w:rFonts w:ascii="Times New Roman;Times;serif" w:hAnsi="Times New Roman;Times;serif"/>
          <w:sz w:val="20"/>
        </w:rPr>
        <w:t>derivatives</w:t>
      </w:r>
      <w:r>
        <w:rPr>
          <w:rFonts w:ascii="Times New Roman;Times;serif" w:hAnsi="Times New Roman;Times;serif"/>
          <w:color w:val="231F20"/>
          <w:sz w:val="20"/>
        </w:rPr>
        <w:t xml:space="preserve">, the third parties may sell securities covered by this prospectus and the </w:t>
      </w:r>
      <w:r>
        <w:rPr>
          <w:rFonts w:ascii="Times New Roman;Times;serif" w:hAnsi="Times New Roman;Times;serif"/>
          <w:sz w:val="20"/>
        </w:rPr>
        <w:t>applicable</w:t>
      </w:r>
      <w:r>
        <w:rPr>
          <w:rFonts w:ascii="Aptos" w:hAnsi="Aptos"/>
          <w:color w:val="231F20"/>
          <w:sz w:val="20"/>
        </w:rPr>
        <w:t xml:space="preserve"> </w:t>
      </w:r>
      <w:r>
        <w:rPr>
          <w:rFonts w:ascii="Times New Roman;Times;serif" w:hAnsi="Times New Roman;Times;serif"/>
          <w:color w:val="231F20"/>
          <w:sz w:val="20"/>
        </w:rPr>
        <w:t>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In order to comply </w:t>
      </w:r>
      <w:r>
        <w:rPr>
          <w:rFonts w:ascii="Times New Roman;Times;serif" w:hAnsi="Times New Roman;Times;serif"/>
          <w:sz w:val="20"/>
        </w:rPr>
        <w:t>with</w:t>
      </w:r>
      <w:r>
        <w:rPr>
          <w:rFonts w:ascii="Aptos" w:hAnsi="Aptos"/>
          <w:color w:val="231F20"/>
          <w:sz w:val="20"/>
        </w:rPr>
        <w:t xml:space="preserve"> </w:t>
      </w:r>
      <w:r>
        <w:rPr>
          <w:rFonts w:ascii="Times New Roman;Times;serif" w:hAnsi="Times New Roman;Times;serif"/>
          <w:color w:val="231F20"/>
          <w:sz w:val="20"/>
        </w:rPr>
        <w:t xml:space="preserve">the securities laws of certain states, if applicable, the securities offered hereby will be sold in such jurisdictions only through registered or licensed brokers or dealers. </w:t>
      </w:r>
    </w:p>
    <w:p>
      <w:pPr>
        <w:pStyle w:val="TextBody"/>
        <w:bidi w:val="0"/>
        <w:spacing w:lineRule="auto" w:line="328" w:before="0" w:after="160"/>
        <w:ind w:left="200" w:right="200" w:firstLine="360"/>
        <w:jc w:val="left"/>
        <w:rPr>
          <w:color w:val="231F20"/>
        </w:rPr>
      </w:pPr>
      <w:r>
        <w:rPr>
          <w:color w:val="231F20"/>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center"/>
        <w:rPr>
          <w:rFonts w:ascii="Times New Roman;Times;serif" w:hAnsi="Times New Roman;Times;serif"/>
          <w:b/>
          <w:sz w:val="20"/>
        </w:rPr>
      </w:pPr>
      <w:bookmarkStart w:id="453" w:name="CUSTODIANTRANSFERANDDIVIDENDPAYINGAGENTA"/>
      <w:bookmarkStart w:id="454" w:name="_3571e79e_34df_4f07_b945_8d078fab5636"/>
      <w:bookmarkStart w:id="455" w:name="_Toc187499193"/>
      <w:bookmarkEnd w:id="453"/>
      <w:bookmarkEnd w:id="454"/>
      <w:bookmarkEnd w:id="455"/>
      <w:r>
        <w:rPr>
          <w:rFonts w:ascii="Times New Roman;Times;serif" w:hAnsi="Times New Roman;Times;serif"/>
          <w:b/>
          <w:sz w:val="20"/>
        </w:rPr>
        <w:t>CUSTODIAN, TRANSFER AND DIVIDEND PAYING AGENT AND REGISTRAR</w:t>
      </w:r>
    </w:p>
    <w:p>
      <w:pPr>
        <w:pStyle w:val="TextBody"/>
        <w:bidi w:val="0"/>
        <w:spacing w:lineRule="auto" w:line="285" w:before="0" w:after="200"/>
        <w:ind w:left="200" w:right="200" w:firstLine="360"/>
        <w:jc w:val="left"/>
        <w:rPr>
          <w:rFonts w:ascii="Aptos" w:hAnsi="Aptos"/>
          <w:sz w:val="20"/>
        </w:rPr>
      </w:pPr>
      <w:r>
        <w:rPr>
          <w:rFonts w:ascii="Times New Roman;Times;serif" w:hAnsi="Times New Roman;Times;serif"/>
          <w:color w:val="231F20"/>
          <w:sz w:val="20"/>
        </w:rPr>
        <w:t xml:space="preserve">Our securities and loan documents are held by U.S. Bank, National Association, pursuant to a custodian agreement. </w:t>
      </w:r>
      <w:r>
        <w:rPr>
          <w:rFonts w:ascii="Times New Roman;Times;serif" w:hAnsi="Times New Roman;Times;serif"/>
          <w:sz w:val="20"/>
        </w:rPr>
        <w:t>The</w:t>
      </w:r>
      <w:r>
        <w:rPr>
          <w:rFonts w:ascii="Aptos" w:hAnsi="Aptos"/>
          <w:color w:val="231F20"/>
          <w:sz w:val="20"/>
        </w:rPr>
        <w:t xml:space="preserve"> </w:t>
      </w:r>
      <w:r>
        <w:rPr>
          <w:rFonts w:ascii="Times New Roman;Times;serif" w:hAnsi="Times New Roman;Times;serif"/>
          <w:color w:val="231F20"/>
          <w:sz w:val="20"/>
        </w:rPr>
        <w:t xml:space="preserve">principal business address of U.S. Bank, National Association, is 190 S. LaSalle Street, 8th Floor, Chicago, IL 60603. </w:t>
      </w:r>
      <w:r>
        <w:rPr>
          <w:rFonts w:ascii="Times New Roman;Times;serif" w:hAnsi="Times New Roman;Times;serif"/>
          <w:sz w:val="20"/>
        </w:rPr>
        <w:t>American</w:t>
      </w:r>
      <w:r>
        <w:rPr>
          <w:rFonts w:ascii="Aptos" w:hAnsi="Aptos"/>
          <w:color w:val="231F20"/>
          <w:sz w:val="20"/>
        </w:rPr>
        <w:t xml:space="preserve"> </w:t>
      </w:r>
      <w:r>
        <w:rPr>
          <w:rFonts w:ascii="Times New Roman;Times;serif" w:hAnsi="Times New Roman;Times;serif"/>
          <w:color w:val="231F20"/>
          <w:sz w:val="20"/>
        </w:rPr>
        <w:t>Stock Transfer &amp; Trust Company LLC will serve as our transfer agent, distribution paying agent and registrar. The principal business address of American Stock Transfer &amp; Trust Company LLC is 6201 15th Avenue, Brooklyn, NY 11219.</w:t>
      </w:r>
    </w:p>
    <w:p>
      <w:pPr>
        <w:pStyle w:val="TextBody"/>
        <w:bidi w:val="0"/>
        <w:spacing w:lineRule="auto" w:line="285" w:before="0" w:after="240"/>
        <w:ind w:left="200" w:right="200" w:hanging="0"/>
        <w:jc w:val="center"/>
        <w:rPr>
          <w:rFonts w:ascii="Times New Roman;Times;serif" w:hAnsi="Times New Roman;Times;serif"/>
          <w:b/>
          <w:sz w:val="20"/>
        </w:rPr>
      </w:pPr>
      <w:bookmarkStart w:id="456" w:name="BROKERAGEALLOCATIONANDOTHERPRACTICES_509"/>
      <w:bookmarkStart w:id="457" w:name="_a6c16179_e5db_481c_961f_693a0725dd15"/>
      <w:bookmarkStart w:id="458" w:name="_Toc187499194"/>
      <w:bookmarkEnd w:id="456"/>
      <w:bookmarkEnd w:id="457"/>
      <w:bookmarkEnd w:id="458"/>
      <w:r>
        <w:rPr>
          <w:rFonts w:ascii="Times New Roman;Times;serif" w:hAnsi="Times New Roman;Times;serif"/>
          <w:b/>
          <w:sz w:val="20"/>
        </w:rPr>
        <w:t>BROKERAGE ALLOCATION AND OTHER PRACTICES</w:t>
      </w:r>
    </w:p>
    <w:p>
      <w:pPr>
        <w:pStyle w:val="TextBody"/>
        <w:bidi w:val="0"/>
        <w:spacing w:lineRule="auto" w:line="285" w:before="0" w:after="200"/>
        <w:ind w:left="200" w:right="200" w:firstLine="360"/>
        <w:jc w:val="left"/>
        <w:rPr>
          <w:rFonts w:ascii="Aptos" w:hAnsi="Aptos"/>
          <w:sz w:val="20"/>
        </w:rPr>
      </w:pPr>
      <w:r>
        <w:rPr>
          <w:rFonts w:ascii="Times New Roman;Times;serif" w:hAnsi="Times New Roman;Times;serif"/>
          <w:color w:val="231F20"/>
          <w:sz w:val="20"/>
        </w:rPr>
        <w:t xml:space="preserve">Since we will acquire and dispose of many of our investments in privately negotiated transactions, many of the transactions that we </w:t>
      </w:r>
      <w:r>
        <w:rPr>
          <w:rFonts w:ascii="Times New Roman;Times;serif" w:hAnsi="Times New Roman;Times;serif"/>
          <w:sz w:val="20"/>
        </w:rPr>
        <w:t>engage</w:t>
      </w:r>
      <w:r>
        <w:rPr>
          <w:rFonts w:ascii="Aptos" w:hAnsi="Aptos"/>
          <w:color w:val="231F20"/>
          <w:sz w:val="20"/>
        </w:rPr>
        <w:t xml:space="preserve"> </w:t>
      </w:r>
      <w:r>
        <w:rPr>
          <w:rFonts w:ascii="Times New Roman;Times;serif" w:hAnsi="Times New Roman;Times;serif"/>
          <w:color w:val="231F20"/>
          <w:sz w:val="20"/>
        </w:rPr>
        <w:t>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1934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pStyle w:val="TextBody"/>
        <w:bidi w:val="0"/>
        <w:spacing w:lineRule="auto" w:line="285" w:before="0" w:after="240"/>
        <w:ind w:left="200" w:right="200" w:hanging="0"/>
        <w:jc w:val="center"/>
        <w:rPr>
          <w:rFonts w:ascii="Times New Roman;Times;serif" w:hAnsi="Times New Roman;Times;serif"/>
          <w:b/>
          <w:sz w:val="20"/>
        </w:rPr>
      </w:pPr>
      <w:bookmarkStart w:id="459" w:name="LEGALMATTERS_296006"/>
      <w:bookmarkStart w:id="460" w:name="_22ceab8a_6a58_48a9_a5c6_20cb64b0deae"/>
      <w:bookmarkStart w:id="461" w:name="_Toc187499195"/>
      <w:bookmarkEnd w:id="459"/>
      <w:bookmarkEnd w:id="460"/>
      <w:bookmarkEnd w:id="461"/>
      <w:r>
        <w:rPr>
          <w:rFonts w:ascii="Times New Roman;Times;serif" w:hAnsi="Times New Roman;Times;serif"/>
          <w:b/>
          <w:sz w:val="20"/>
        </w:rPr>
        <w:t>LEGAL MATTERS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The validity of the common stock offered hereby and certain legal matters for us in connection with the offering will be passed </w:t>
      </w:r>
      <w:r>
        <w:rPr>
          <w:rFonts w:ascii="Times New Roman;Times;serif" w:hAnsi="Times New Roman;Times;serif"/>
          <w:sz w:val="20"/>
        </w:rPr>
        <w:t>upon</w:t>
      </w:r>
      <w:r>
        <w:rPr>
          <w:rFonts w:ascii="Aptos" w:hAnsi="Aptos"/>
          <w:color w:val="231F20"/>
          <w:sz w:val="20"/>
        </w:rPr>
        <w:t xml:space="preserve"> </w:t>
      </w:r>
      <w:r>
        <w:rPr>
          <w:rFonts w:ascii="Times New Roman;Times;serif" w:hAnsi="Times New Roman;Times;serif"/>
          <w:color w:val="231F20"/>
          <w:sz w:val="20"/>
        </w:rPr>
        <w:t xml:space="preserve">for us by Eversheds Sutherland (US) LLP. Eversheds Sutherland (US) LLP also represents the Adviser. </w:t>
      </w:r>
    </w:p>
    <w:p>
      <w:pPr>
        <w:pStyle w:val="TextBody"/>
        <w:bidi w:val="0"/>
        <w:spacing w:lineRule="auto" w:line="285" w:before="0" w:after="200"/>
        <w:ind w:left="200" w:right="200" w:firstLine="360"/>
        <w:jc w:val="left"/>
        <w:rPr>
          <w:rFonts w:ascii="Times New Roman;Times;serif" w:hAnsi="Times New Roman;Times;serif"/>
          <w:sz w:val="20"/>
        </w:rPr>
      </w:pPr>
      <w:r>
        <w:rPr>
          <w:rFonts w:ascii="Times New Roman;Times;serif" w:hAnsi="Times New Roman;Times;serif"/>
          <w:sz w:val="20"/>
        </w:rPr>
        <w:t>Certain legal matters in connection with the offering will be passed upon for the underwriters, if any, by the counsel named in the prospectus supplement.</w:t>
      </w:r>
    </w:p>
    <w:p>
      <w:pPr>
        <w:pStyle w:val="TextBody"/>
        <w:bidi w:val="0"/>
        <w:spacing w:lineRule="auto" w:line="285" w:before="0" w:after="240"/>
        <w:ind w:left="200" w:right="200" w:hanging="0"/>
        <w:jc w:val="center"/>
        <w:rPr>
          <w:rFonts w:ascii="Times New Roman;Times;serif" w:hAnsi="Times New Roman;Times;serif"/>
          <w:b/>
          <w:sz w:val="20"/>
        </w:rPr>
      </w:pPr>
      <w:bookmarkStart w:id="462" w:name="INDEPENDENTREGISTEREDPUBLICACCOUNTINGFIR"/>
      <w:bookmarkStart w:id="463" w:name="_89c52079_54e7_42a7_befc_3833f5182d4a"/>
      <w:bookmarkStart w:id="464" w:name="_Toc187499196"/>
      <w:bookmarkEnd w:id="462"/>
      <w:bookmarkEnd w:id="463"/>
      <w:bookmarkEnd w:id="464"/>
      <w:r>
        <w:rPr>
          <w:rFonts w:ascii="Times New Roman;Times;serif" w:hAnsi="Times New Roman;Times;serif"/>
          <w:b/>
          <w:sz w:val="20"/>
        </w:rPr>
        <w:t>INDEPENDENT REGISTERED PUBLIC ACCOUNTING FIRM</w:t>
      </w:r>
    </w:p>
    <w:p>
      <w:pPr>
        <w:pStyle w:val="TextBody"/>
        <w:bidi w:val="0"/>
        <w:spacing w:lineRule="auto" w:line="285" w:before="0" w:after="240"/>
        <w:ind w:left="200" w:right="200" w:firstLine="360"/>
        <w:jc w:val="left"/>
        <w:rPr/>
      </w:pPr>
      <w:r>
        <w:rPr>
          <w:rFonts w:ascii="Times New Roman;Times;serif" w:hAnsi="Times New Roman;Times;serif"/>
          <w:sz w:val="20"/>
        </w:rPr>
        <w:t xml:space="preserve">The consolidated financial statements, financial highlights, and senior securities table of Runway Growth Finance Corp. as of December 31, 2023 and 2022 and for each of the years in the three-year period ended December 31, 2023 incorporated in this prospectus by reference from the Runway Growth Finance Corp. </w:t>
      </w:r>
      <w:hyperlink r:id="rId16">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Aptos" w:hAnsi="Aptos"/>
          <w:sz w:val="20"/>
        </w:rPr>
        <w:t xml:space="preserve"> </w:t>
      </w:r>
      <w:r>
        <w:rPr>
          <w:rFonts w:ascii="Times New Roman;Times;serif" w:hAnsi="Times New Roman;Times;serif"/>
          <w:sz w:val="20"/>
        </w:rPr>
        <w:t>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w:t>
      </w:r>
    </w:p>
    <w:p>
      <w:pPr>
        <w:pStyle w:val="TextBody"/>
        <w:bidi w:val="0"/>
        <w:spacing w:lineRule="auto" w:line="285" w:before="0" w:after="20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 xml:space="preserve">The address of RSM US LLP is 30 South Wacker Drive, Suite 3300, Chicago, Illinois 60606. </w:t>
      </w:r>
    </w:p>
    <w:p>
      <w:pPr>
        <w:pStyle w:val="TextBody"/>
        <w:bidi w:val="0"/>
        <w:spacing w:lineRule="auto" w:line="285" w:before="0" w:after="240"/>
        <w:ind w:left="200" w:right="200" w:hanging="0"/>
        <w:jc w:val="center"/>
        <w:rPr>
          <w:rFonts w:ascii="Times New Roman;Times;serif" w:hAnsi="Times New Roman;Times;serif"/>
          <w:b/>
          <w:sz w:val="20"/>
        </w:rPr>
      </w:pPr>
      <w:bookmarkStart w:id="465" w:name="AVAILABLEINFORMATION_984735"/>
      <w:bookmarkStart w:id="466" w:name="_6850ea17_6171_49c9_a884_55c4b54acb9d"/>
      <w:bookmarkStart w:id="467" w:name="_Toc187499197"/>
      <w:bookmarkEnd w:id="465"/>
      <w:bookmarkEnd w:id="466"/>
      <w:bookmarkEnd w:id="467"/>
      <w:r>
        <w:rPr>
          <w:rFonts w:ascii="Times New Roman;Times;serif" w:hAnsi="Times New Roman;Times;serif"/>
          <w:b/>
          <w:sz w:val="20"/>
        </w:rPr>
        <w:t>AVAILABLE INFORMATION</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We have filed with the SEC a registration statement on Form N-2, together with all amendments and related exhibits, under the </w:t>
      </w:r>
      <w:r>
        <w:rPr>
          <w:rFonts w:ascii="Times New Roman;Times;serif" w:hAnsi="Times New Roman;Times;serif"/>
          <w:sz w:val="20"/>
        </w:rPr>
        <w:t>Securities</w:t>
      </w:r>
      <w:r>
        <w:rPr>
          <w:rFonts w:ascii="Aptos" w:hAnsi="Aptos"/>
          <w:color w:val="231F20"/>
          <w:sz w:val="20"/>
        </w:rPr>
        <w:t xml:space="preserve"> </w:t>
      </w:r>
      <w:r>
        <w:rPr>
          <w:rFonts w:ascii="Times New Roman;Times;serif" w:hAnsi="Times New Roman;Times;serif"/>
          <w:color w:val="231F20"/>
          <w:sz w:val="20"/>
        </w:rPr>
        <w:t>Act, with respect to the securities offered by this prospectus. The registration statement contains additional information about us and the securities being offered by this prospectus.</w:t>
      </w:r>
    </w:p>
    <w:p>
      <w:pPr>
        <w:pStyle w:val="TextBody"/>
        <w:bidi w:val="0"/>
        <w:spacing w:lineRule="auto" w:line="285" w:before="0" w:after="240"/>
        <w:ind w:left="200" w:right="200" w:firstLine="360"/>
        <w:jc w:val="left"/>
        <w:rPr>
          <w:rFonts w:ascii="Aptos" w:hAnsi="Aptos"/>
          <w:sz w:val="20"/>
        </w:rPr>
      </w:pPr>
      <w:r>
        <w:rPr>
          <w:rFonts w:ascii="Times New Roman;Times;serif" w:hAnsi="Times New Roman;Times;serif"/>
          <w:color w:val="231F20"/>
          <w:sz w:val="20"/>
        </w:rPr>
        <w:t xml:space="preserve">We also file </w:t>
      </w:r>
      <w:r>
        <w:rPr>
          <w:rFonts w:ascii="Times New Roman;Times;serif" w:hAnsi="Times New Roman;Times;serif"/>
          <w:sz w:val="20"/>
        </w:rPr>
        <w:t>with</w:t>
      </w:r>
      <w:r>
        <w:rPr>
          <w:rFonts w:ascii="Aptos" w:hAnsi="Aptos"/>
          <w:color w:val="231F20"/>
          <w:sz w:val="20"/>
        </w:rPr>
        <w:t xml:space="preserve"> </w:t>
      </w:r>
      <w:r>
        <w:rPr>
          <w:rFonts w:ascii="Times New Roman;Times;serif" w:hAnsi="Times New Roman;Times;serif"/>
          <w:color w:val="231F20"/>
          <w:sz w:val="20"/>
        </w:rPr>
        <w:t xml:space="preserve">or submit to the SEC periodic and current reports, proxy statements and other information meeting the informational </w:t>
      </w:r>
      <w:r>
        <w:rPr>
          <w:rFonts w:ascii="Times New Roman;Times;serif" w:hAnsi="Times New Roman;Times;serif"/>
          <w:sz w:val="20"/>
        </w:rPr>
        <w:t>requirements</w:t>
      </w:r>
      <w:r>
        <w:rPr>
          <w:rFonts w:ascii="Aptos" w:hAnsi="Aptos"/>
          <w:color w:val="231F20"/>
          <w:sz w:val="20"/>
        </w:rPr>
        <w:t xml:space="preserve"> </w:t>
      </w:r>
      <w:r>
        <w:rPr>
          <w:rFonts w:ascii="Times New Roman;Times;serif" w:hAnsi="Times New Roman;Times;serif"/>
          <w:color w:val="231F20"/>
          <w:sz w:val="20"/>
        </w:rPr>
        <w:t>of the 1934 Act.</w:t>
      </w:r>
    </w:p>
    <w:p>
      <w:pPr>
        <w:pStyle w:val="TextBody"/>
        <w:bidi w:val="0"/>
        <w:spacing w:lineRule="auto" w:line="285" w:before="0" w:after="240"/>
        <w:ind w:left="200" w:right="200" w:firstLine="360"/>
        <w:jc w:val="left"/>
        <w:rPr>
          <w:rFonts w:ascii="Times New Roman;Times;serif" w:hAnsi="Times New Roman;Times;serif"/>
          <w:color w:val="231F20"/>
          <w:sz w:val="20"/>
        </w:rPr>
      </w:pPr>
      <w:r>
        <w:rPr>
          <w:rFonts w:ascii="Times New Roman;Times;serif" w:hAnsi="Times New Roman;Times;serif"/>
          <w:color w:val="231F20"/>
          <w:sz w:val="20"/>
        </w:rPr>
        <w:t>We furnish our stockholders with annual reports containing audited financial statements, quarterly reports, and such other periodic reports as we determine to be appropriate or as may be required by law.</w:t>
      </w:r>
    </w:p>
    <w:p>
      <w:pPr>
        <w:pStyle w:val="TextBody"/>
        <w:bidi w:val="0"/>
        <w:spacing w:lineRule="auto" w:line="285" w:before="240" w:after="0"/>
        <w:ind w:left="200" w:right="200" w:firstLine="360"/>
        <w:jc w:val="left"/>
        <w:rPr>
          <w:rFonts w:ascii="Aptos" w:hAnsi="Aptos"/>
          <w:sz w:val="20"/>
        </w:rPr>
      </w:pPr>
      <w:r>
        <w:rPr>
          <w:rFonts w:ascii="Times New Roman;Times;serif" w:hAnsi="Times New Roman;Times;serif"/>
          <w:color w:val="231F20"/>
          <w:sz w:val="20"/>
        </w:rPr>
        <w:t xml:space="preserve">We make </w:t>
      </w:r>
      <w:r>
        <w:rPr>
          <w:rFonts w:ascii="Times New Roman;Times;serif" w:hAnsi="Times New Roman;Times;serif"/>
          <w:sz w:val="20"/>
        </w:rPr>
        <w:t>available</w:t>
      </w:r>
      <w:r>
        <w:rPr>
          <w:rFonts w:ascii="Aptos" w:hAnsi="Aptos"/>
          <w:color w:val="231F20"/>
          <w:sz w:val="20"/>
        </w:rPr>
        <w:t xml:space="preserve"> </w:t>
      </w:r>
      <w:r>
        <w:rPr>
          <w:rFonts w:ascii="Times New Roman;Times;serif" w:hAnsi="Times New Roman;Times;serif"/>
          <w:color w:val="231F20"/>
          <w:sz w:val="20"/>
        </w:rPr>
        <w:t xml:space="preserve">on </w:t>
      </w:r>
      <w:r>
        <w:rPr>
          <w:rFonts w:ascii="Times New Roman;Times;serif" w:hAnsi="Times New Roman;Times;serif"/>
          <w:sz w:val="20"/>
        </w:rPr>
        <w:t>our</w:t>
      </w:r>
      <w:r>
        <w:rPr>
          <w:rFonts w:ascii="Aptos" w:hAnsi="Aptos"/>
          <w:color w:val="231F20"/>
          <w:sz w:val="20"/>
        </w:rPr>
        <w:t xml:space="preserve"> </w:t>
      </w:r>
      <w:r>
        <w:rPr>
          <w:rFonts w:ascii="Times New Roman;Times;serif" w:hAnsi="Times New Roman;Times;serif"/>
          <w:color w:val="231F20"/>
          <w:sz w:val="20"/>
        </w:rPr>
        <w:t xml:space="preserve">website (https://runwaygrowth.com/document-center/) our annual reports on Form 10-K, quarterly reports on Form 10-Q and our current reports on Form 8-K. The SEC also maintains a website (www.sec.gov) that contains such information. The reference to our website is an inactive textual reference only and the </w:t>
      </w:r>
      <w:r>
        <w:rPr>
          <w:rFonts w:ascii="Times New Roman;Times;serif" w:hAnsi="Times New Roman;Times;serif"/>
          <w:sz w:val="20"/>
        </w:rPr>
        <w:t xml:space="preserve">information contained on our website or the </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200" w:right="200" w:hanging="0"/>
        <w:jc w:val="left"/>
        <w:rPr>
          <w:rFonts w:ascii="Aptos" w:hAnsi="Aptos"/>
          <w:sz w:val="20"/>
        </w:rPr>
      </w:pPr>
      <w:r>
        <w:rPr>
          <w:rFonts w:ascii="Times New Roman;Times;serif" w:hAnsi="Times New Roman;Times;serif"/>
          <w:sz w:val="20"/>
        </w:rPr>
        <w:t>SEC’s website is not incorporated as a part of this prospectus. You may also obtain such information free of charge by contacting us in writing at 205 N. Michigan Ave., Suite 4200, Chicago, IL 60601, or by emailing us at investors@runwaygrowth.com</w:t>
      </w:r>
      <w:r>
        <w:rPr>
          <w:rFonts w:ascii="Times New Roman;Times;serif" w:hAnsi="Times New Roman;Times;serif"/>
          <w:color w:val="231F20"/>
          <w:sz w:val="20"/>
        </w:rPr>
        <w:t xml:space="preserve">. </w:t>
      </w:r>
    </w:p>
    <w:p>
      <w:pPr>
        <w:pStyle w:val="TextBody"/>
        <w:bidi w:val="0"/>
        <w:spacing w:lineRule="auto" w:line="285" w:before="0" w:after="240"/>
        <w:ind w:left="200" w:right="200" w:hanging="0"/>
        <w:jc w:val="center"/>
        <w:rPr>
          <w:rFonts w:ascii="Times New Roman;Times;serif" w:hAnsi="Times New Roman;Times;serif"/>
          <w:b/>
          <w:sz w:val="20"/>
        </w:rPr>
      </w:pPr>
      <w:bookmarkStart w:id="468" w:name="INCORPORATIONOFCERTAININFORMATIONBYREFER"/>
      <w:bookmarkStart w:id="469" w:name="_67be0a6d_f4ad_4f0c_bd78_2626053b0f92"/>
      <w:bookmarkStart w:id="470" w:name="_Toc187499198"/>
      <w:bookmarkEnd w:id="468"/>
      <w:bookmarkEnd w:id="469"/>
      <w:bookmarkEnd w:id="470"/>
      <w:r>
        <w:rPr>
          <w:rFonts w:ascii="Times New Roman;Times;serif" w:hAnsi="Times New Roman;Times;serif"/>
          <w:b/>
          <w:sz w:val="20"/>
        </w:rPr>
        <w:t>INCORPORATION OF CERTAIN INFORMATION BY REFERENCE</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if any, is terminated will automatically update and, where applicable, supersede any information contained in this prospectus or incorporated by reference in this prospectus.</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if any,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if any. Information that we file with the SEC subsequent to the date of this prospectus will automatically update and may supersede information in this prospectus, any accompanying prospectus supplement, if any, and other information previously filed with the SEC.</w:t>
      </w:r>
    </w:p>
    <w:p>
      <w:pPr>
        <w:pStyle w:val="TextBody"/>
        <w:bidi w:val="0"/>
        <w:spacing w:lineRule="auto" w:line="285" w:before="0" w:after="240"/>
        <w:ind w:left="200" w:right="200" w:firstLine="360"/>
        <w:jc w:val="left"/>
        <w:rPr>
          <w:rFonts w:ascii="Times New Roman;Times;serif" w:hAnsi="Times New Roman;Times;serif"/>
          <w:sz w:val="20"/>
        </w:rPr>
      </w:pPr>
      <w:r>
        <w:rPr>
          <w:rFonts w:ascii="Times New Roman;Times;serif" w:hAnsi="Times New Roman;Times;serif"/>
          <w:sz w:val="20"/>
        </w:rPr>
        <w:t>The prospectus incorporates by reference the documents set forth below that have been previously filed with the SEC:</w:t>
      </w:r>
    </w:p>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Times;serif" w:hAnsi="Times New Roman;Times;serif"/>
                  <w:b w:val="false"/>
                  <w:i w:val="false"/>
                  <w:caps w:val="false"/>
                  <w:smallCaps w:val="false"/>
                  <w:sz w:val="20"/>
                </w:rPr>
                <w:t>our Annual Report on Form 10-K for the fiscal year ended December 31, 2023, filed with the SEC on March 7, 2024;</w:t>
              </w:r>
            </w:hyperlink>
          </w:p>
        </w:tc>
      </w:tr>
    </w:tbl>
    <w:tbl>
      <w:tblPr>
        <w:tblW w:w="7431" w:type="dxa"/>
        <w:jc w:val="left"/>
        <w:tblInd w:w="20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051"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Times;serif" w:hAnsi="Times New Roman;Times;serif"/>
                  <w:b w:val="false"/>
                  <w:i w:val="false"/>
                  <w:caps w:val="false"/>
                  <w:smallCaps w:val="false"/>
                  <w:sz w:val="20"/>
                </w:rPr>
                <w:t>our Definitive Proxy Statement on Schedule 14A, filed with the SEC on July 3, 2024;</w:t>
              </w:r>
            </w:hyperlink>
          </w:p>
        </w:tc>
      </w:tr>
    </w:tbl>
    <w:tbl>
      <w:tblPr>
        <w:tblW w:w="8001" w:type="dxa"/>
        <w:jc w:val="left"/>
        <w:tblInd w:w="20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62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Times;serif" w:hAnsi="Times New Roman;Times;serif"/>
                  <w:b w:val="false"/>
                  <w:i w:val="false"/>
                  <w:caps w:val="false"/>
                  <w:smallCaps w:val="false"/>
                  <w:sz w:val="20"/>
                </w:rPr>
                <w:t>our Definitive Proxy Statement on Schedule 14A, filed with the SEC on December 13, 2024;</w:t>
              </w:r>
            </w:hyperlink>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Quarterly Reports on Form 10-Q for the fiscal quarters ended March 31, 2024, June 30, 2024 and September 30, 2024, filed with the SEC on </w:t>
            </w:r>
            <w:hyperlink r:id="rId20">
              <w:r>
                <w:rPr>
                  <w:rStyle w:val="InternetLink"/>
                  <w:rFonts w:ascii="Times New Roman;Times;serif" w:hAnsi="Times New Roman;Times;serif"/>
                  <w:b w:val="false"/>
                  <w:i w:val="false"/>
                  <w:caps w:val="false"/>
                  <w:smallCaps w:val="false"/>
                  <w:sz w:val="20"/>
                </w:rPr>
                <w:t>May 7, 2024</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August 8, 2024</w:t>
              </w:r>
            </w:hyperlink>
            <w:r>
              <w:rPr>
                <w:rFonts w:ascii="Times New Roman;Times;serif" w:hAnsi="Times New Roman;Times;serif"/>
                <w:b w:val="false"/>
                <w:i w:val="false"/>
                <w:caps w:val="false"/>
                <w:smallCaps w:val="false"/>
                <w:sz w:val="20"/>
              </w:rPr>
              <w:t xml:space="preserve">, and </w:t>
            </w:r>
            <w:hyperlink r:id="rId22">
              <w:r>
                <w:rPr>
                  <w:rStyle w:val="InternetLink"/>
                  <w:rFonts w:ascii="Times New Roman;Times;serif" w:hAnsi="Times New Roman;Times;serif"/>
                  <w:b w:val="false"/>
                  <w:i w:val="false"/>
                  <w:caps w:val="false"/>
                  <w:smallCaps w:val="false"/>
                  <w:sz w:val="20"/>
                </w:rPr>
                <w:t>November 12, 2024</w:t>
              </w:r>
            </w:hyperlink>
            <w:r>
              <w:rPr>
                <w:rFonts w:ascii="Times New Roman;Times;serif" w:hAnsi="Times New Roman;Times;serif"/>
                <w:b w:val="false"/>
                <w:i w:val="false"/>
                <w:caps w:val="false"/>
                <w:smallCaps w:val="false"/>
                <w:sz w:val="20"/>
              </w:rPr>
              <w:t>, respectively;</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Reports on Form 8-K (other than information furnished rather than filed) filed with the SEC on </w:t>
            </w:r>
            <w:hyperlink r:id="rId23">
              <w:r>
                <w:rPr>
                  <w:rStyle w:val="InternetLink"/>
                  <w:rFonts w:ascii="Times New Roman;Times;serif" w:hAnsi="Times New Roman;Times;serif"/>
                  <w:b w:val="false"/>
                  <w:i w:val="false"/>
                  <w:caps w:val="false"/>
                  <w:smallCaps w:val="false"/>
                  <w:sz w:val="20"/>
                </w:rPr>
                <w:t>January 11, 2024</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March 7, 2024</w:t>
              </w:r>
            </w:hyperlink>
            <w:r>
              <w:rPr>
                <w:caps w:val="false"/>
                <w:smallCaps w:val="false"/>
              </w:rPr>
              <w:t xml:space="preserve"> </w:t>
            </w:r>
            <w:hyperlink r:id="rId25">
              <w:r>
                <w:rPr>
                  <w:rStyle w:val="InternetLink"/>
                  <w:rFonts w:ascii="Times New Roman;Times;serif" w:hAnsi="Times New Roman;Times;serif"/>
                  <w:b w:val="false"/>
                  <w:i w:val="false"/>
                  <w:caps w:val="false"/>
                  <w:smallCaps w:val="false"/>
                  <w:sz w:val="20"/>
                </w:rPr>
                <w:t>(Two filing)</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April 9, 2024</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May 7, 2024</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May 15, 2024</w:t>
              </w:r>
            </w:hyperlink>
            <w:r>
              <w:rPr>
                <w:rFonts w:ascii="Times New Roman;Times;serif" w:hAnsi="Times New Roman;Times;serif"/>
                <w:b w:val="false"/>
                <w:i w:val="false"/>
                <w:caps w:val="false"/>
                <w:smallCaps w:val="false"/>
                <w:sz w:val="20"/>
              </w:rPr>
              <w:t xml:space="preserve">, </w:t>
            </w:r>
            <w:hyperlink r:id="rId29">
              <w:r>
                <w:rPr>
                  <w:rStyle w:val="InternetLink"/>
                  <w:rFonts w:ascii="Times New Roman;Times;serif" w:hAnsi="Times New Roman;Times;serif"/>
                  <w:b w:val="false"/>
                  <w:i w:val="false"/>
                  <w:caps w:val="false"/>
                  <w:smallCaps w:val="false"/>
                  <w:sz w:val="20"/>
                </w:rPr>
                <w:t>July 11, 2024</w:t>
              </w:r>
            </w:hyperlink>
            <w:r>
              <w:rPr>
                <w:rFonts w:ascii="Times New Roman;Times;serif" w:hAnsi="Times New Roman;Times;serif"/>
                <w:b w:val="false"/>
                <w:i w:val="false"/>
                <w:caps w:val="false"/>
                <w:smallCaps w:val="false"/>
                <w:sz w:val="20"/>
              </w:rPr>
              <w:t xml:space="preserve">, </w:t>
            </w:r>
            <w:hyperlink r:id="rId30">
              <w:r>
                <w:rPr>
                  <w:rStyle w:val="InternetLink"/>
                  <w:rFonts w:ascii="Times New Roman;Times;serif" w:hAnsi="Times New Roman;Times;serif"/>
                  <w:b w:val="false"/>
                  <w:i w:val="false"/>
                  <w:caps w:val="false"/>
                  <w:smallCaps w:val="false"/>
                  <w:sz w:val="20"/>
                </w:rPr>
                <w:t>August 8, 2024</w:t>
              </w:r>
            </w:hyperlink>
            <w:r>
              <w:rPr>
                <w:rFonts w:ascii="Times New Roman;Times;serif" w:hAnsi="Times New Roman;Times;serif"/>
                <w:b w:val="false"/>
                <w:i w:val="false"/>
                <w:caps w:val="false"/>
                <w:smallCaps w:val="false"/>
                <w:sz w:val="20"/>
              </w:rPr>
              <w:t xml:space="preserve">, </w:t>
            </w:r>
            <w:hyperlink r:id="rId31">
              <w:r>
                <w:rPr>
                  <w:rStyle w:val="InternetLink"/>
                  <w:rFonts w:ascii="Times New Roman;Times;serif" w:hAnsi="Times New Roman;Times;serif"/>
                  <w:b w:val="false"/>
                  <w:i w:val="false"/>
                  <w:caps w:val="false"/>
                  <w:smallCaps w:val="false"/>
                  <w:sz w:val="20"/>
                </w:rPr>
                <w:t>August 26, 2024</w:t>
              </w:r>
            </w:hyperlink>
            <w:r>
              <w:rPr>
                <w:rFonts w:ascii="Times New Roman;Times;serif" w:hAnsi="Times New Roman;Times;serif"/>
                <w:b w:val="false"/>
                <w:i w:val="false"/>
                <w:caps w:val="false"/>
                <w:smallCaps w:val="false"/>
                <w:sz w:val="20"/>
              </w:rPr>
              <w:t xml:space="preserve">, </w:t>
            </w:r>
            <w:hyperlink r:id="rId32">
              <w:r>
                <w:rPr>
                  <w:rStyle w:val="InternetLink"/>
                  <w:rFonts w:ascii="Times New Roman;Times;serif" w:hAnsi="Times New Roman;Times;serif"/>
                  <w:b w:val="false"/>
                  <w:i w:val="false"/>
                  <w:caps w:val="false"/>
                  <w:smallCaps w:val="false"/>
                  <w:sz w:val="20"/>
                </w:rPr>
                <w:t>October 8, 2024</w:t>
              </w:r>
            </w:hyperlink>
            <w:r>
              <w:rPr>
                <w:rFonts w:ascii="Times New Roman;Times;serif" w:hAnsi="Times New Roman;Times;serif"/>
                <w:b w:val="false"/>
                <w:i w:val="false"/>
                <w:caps w:val="false"/>
                <w:smallCaps w:val="false"/>
                <w:sz w:val="20"/>
              </w:rPr>
              <w:t xml:space="preserve">, </w:t>
            </w:r>
            <w:hyperlink r:id="rId33">
              <w:r>
                <w:rPr>
                  <w:rStyle w:val="InternetLink"/>
                  <w:rFonts w:ascii="Times New Roman;Times;serif" w:hAnsi="Times New Roman;Times;serif"/>
                  <w:b w:val="false"/>
                  <w:i w:val="false"/>
                  <w:caps w:val="false"/>
                  <w:smallCaps w:val="false"/>
                  <w:sz w:val="20"/>
                </w:rPr>
                <w:t>November 1, 2024</w:t>
              </w:r>
            </w:hyperlink>
            <w:r>
              <w:rPr>
                <w:rFonts w:ascii="Times New Roman;Times;serif" w:hAnsi="Times New Roman;Times;serif"/>
                <w:b w:val="false"/>
                <w:i w:val="false"/>
                <w:caps w:val="false"/>
                <w:smallCaps w:val="false"/>
                <w:sz w:val="20"/>
              </w:rPr>
              <w:t xml:space="preserve">, </w:t>
            </w:r>
            <w:hyperlink r:id="rId34">
              <w:r>
                <w:rPr>
                  <w:rStyle w:val="InternetLink"/>
                  <w:rFonts w:ascii="Times New Roman;Times;serif" w:hAnsi="Times New Roman;Times;serif"/>
                  <w:b w:val="false"/>
                  <w:i w:val="false"/>
                  <w:caps w:val="false"/>
                  <w:smallCaps w:val="false"/>
                  <w:sz w:val="20"/>
                </w:rPr>
                <w:t>November 12, 2024</w:t>
              </w:r>
            </w:hyperlink>
            <w:r>
              <w:rPr>
                <w:rFonts w:ascii="Times New Roman;Times;serif" w:hAnsi="Times New Roman;Times;serif"/>
                <w:b w:val="false"/>
                <w:i w:val="false"/>
                <w:caps w:val="false"/>
                <w:smallCaps w:val="false"/>
                <w:sz w:val="20"/>
              </w:rPr>
              <w:t xml:space="preserve">, </w:t>
            </w:r>
            <w:hyperlink r:id="rId35">
              <w:r>
                <w:rPr>
                  <w:rStyle w:val="InternetLink"/>
                  <w:rFonts w:ascii="Times New Roman;Times;serif" w:hAnsi="Times New Roman;Times;serif"/>
                  <w:b w:val="false"/>
                  <w:i w:val="false"/>
                  <w:caps w:val="false"/>
                  <w:smallCaps w:val="false"/>
                  <w:sz w:val="20"/>
                </w:rPr>
                <w:t>November 18, 2024</w:t>
              </w:r>
            </w:hyperlink>
            <w:r>
              <w:rPr>
                <w:caps w:val="false"/>
                <w:smallCaps w:val="false"/>
              </w:rPr>
              <w:t xml:space="preserve"> </w:t>
            </w:r>
            <w:r>
              <w:rPr>
                <w:rFonts w:ascii="Times New Roman;Times;serif" w:hAnsi="Times New Roman;Times;serif"/>
                <w:b w:val="false"/>
                <w:i w:val="false"/>
                <w:caps w:val="false"/>
                <w:smallCaps w:val="false"/>
                <w:sz w:val="20"/>
              </w:rPr>
              <w:t xml:space="preserve">and </w:t>
            </w:r>
            <w:hyperlink r:id="rId36">
              <w:r>
                <w:rPr>
                  <w:rStyle w:val="InternetLink"/>
                  <w:rFonts w:ascii="Times New Roman;Times;serif" w:hAnsi="Times New Roman;Times;serif"/>
                  <w:b w:val="false"/>
                  <w:i w:val="false"/>
                  <w:caps w:val="false"/>
                  <w:smallCaps w:val="false"/>
                  <w:sz w:val="20"/>
                </w:rPr>
                <w:t>March 17, 2025</w:t>
              </w:r>
            </w:hyperlink>
            <w:r>
              <w:rPr>
                <w:rFonts w:ascii="Times New Roman;Times;serif" w:hAnsi="Times New Roman;Times;serif"/>
                <w:b w:val="false"/>
                <w:i w:val="false"/>
                <w:caps w:val="false"/>
                <w:smallCaps w:val="false"/>
                <w:sz w:val="20"/>
              </w:rPr>
              <w:t>; and</w:t>
            </w:r>
          </w:p>
        </w:tc>
      </w:tr>
    </w:tbl>
    <w:tbl>
      <w:tblPr>
        <w:tblW w:w="9805" w:type="dxa"/>
        <w:jc w:val="left"/>
        <w:tblInd w:w="200" w:type="dxa"/>
        <w:tblLayout w:type="fixed"/>
        <w:tblCellMar>
          <w:top w:w="28" w:type="dxa"/>
          <w:left w:w="28" w:type="dxa"/>
          <w:bottom w:w="28" w:type="dxa"/>
          <w:right w:w="28" w:type="dxa"/>
        </w:tblCellMar>
      </w:tblPr>
      <w:tblGrid>
        <w:gridCol w:w="124"/>
        <w:gridCol w:w="256"/>
        <w:gridCol w:w="94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94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description of our Common Stock referenced in our </w:t>
            </w:r>
            <w:hyperlink r:id="rId37">
              <w:r>
                <w:rPr>
                  <w:rStyle w:val="InternetLink"/>
                  <w:rFonts w:ascii="Times New Roman;Times;serif" w:hAnsi="Times New Roman;Times;serif"/>
                  <w:b w:val="false"/>
                  <w:i w:val="false"/>
                  <w:caps w:val="false"/>
                  <w:smallCaps w:val="false"/>
                  <w:sz w:val="20"/>
                </w:rPr>
                <w:t>Registration Statement on Form 8-A (No. 001-40938), as filed with the SEC on October 20, 2021</w:t>
              </w:r>
            </w:hyperlink>
            <w:r>
              <w:rPr>
                <w:rFonts w:ascii="Times New Roman;Times;serif" w:hAnsi="Times New Roman;Times;serif"/>
                <w:b w:val="false"/>
                <w:i w:val="false"/>
                <w:caps w:val="false"/>
                <w:smallCaps w:val="false"/>
                <w:sz w:val="20"/>
              </w:rPr>
              <w:t>, including any amendment or report filed for the purpose of updating such description prior to the termination of the offering of the common stock registered hereby.</w:t>
            </w:r>
          </w:p>
        </w:tc>
      </w:tr>
    </w:tbl>
    <w:p>
      <w:pPr>
        <w:pStyle w:val="TextBody"/>
        <w:bidi w:val="0"/>
        <w:spacing w:lineRule="auto" w:line="285" w:before="240" w:after="240"/>
        <w:ind w:left="200" w:right="200" w:firstLine="360"/>
        <w:jc w:val="left"/>
        <w:rPr>
          <w:rFonts w:ascii="Aptos" w:hAnsi="Aptos"/>
          <w:sz w:val="20"/>
        </w:rPr>
      </w:pPr>
      <w:r>
        <w:rPr>
          <w:rFonts w:ascii="Times New Roman;Times;serif" w:hAnsi="Times New Roman;Times;serif"/>
          <w:sz w:val="20"/>
        </w:rPr>
        <w:t>See “Available</w:t>
      </w:r>
      <w:r>
        <w:rPr>
          <w:rFonts w:ascii="Aptos" w:hAnsi="Aptos"/>
          <w:sz w:val="20"/>
        </w:rPr>
        <w:t xml:space="preserve"> </w:t>
      </w:r>
      <w:r>
        <w:rPr>
          <w:rFonts w:ascii="Times New Roman;Times;serif" w:hAnsi="Times New Roman;Times;serif"/>
          <w:i/>
          <w:sz w:val="20"/>
        </w:rPr>
        <w:t>Information</w:t>
      </w:r>
      <w:r>
        <w:rPr>
          <w:rFonts w:ascii="Aptos" w:hAnsi="Aptos"/>
          <w:sz w:val="20"/>
        </w:rPr>
        <w:t xml:space="preserve">” </w:t>
      </w:r>
      <w:r>
        <w:rPr>
          <w:rFonts w:ascii="Times New Roman;Times;serif" w:hAnsi="Times New Roman;Times;serif"/>
          <w:sz w:val="20"/>
        </w:rPr>
        <w:t>for information on how to obtain a copy of these filings</w:t>
      </w:r>
    </w:p>
    <w:p>
      <w:pPr>
        <w:pStyle w:val="TextBody"/>
        <w:bidi w:val="0"/>
        <w:spacing w:lineRule="auto" w:line="328" w:before="0" w:after="160"/>
        <w:ind w:left="200" w:right="200" w:firstLine="360"/>
        <w:jc w:val="left"/>
        <w:rPr/>
      </w:pPr>
      <w:r>
        <w:rPr/>
        <w:t>​</w:t>
      </w:r>
    </w:p>
    <w:p>
      <w:pPr>
        <w:pStyle w:val="TextBody"/>
        <w:bidi w:val="0"/>
        <w:spacing w:lineRule="auto" w:line="328" w:before="0" w:after="160"/>
        <w:ind w:left="200" w:right="200" w:firstLine="360"/>
        <w:jc w:val="left"/>
        <w:rPr/>
      </w:pPr>
      <w:r>
        <w:rPr/>
        <w:t>​</w:t>
      </w:r>
    </w:p>
    <w:p>
      <w:pPr>
        <w:pStyle w:val="TextBody"/>
        <w:bidi w:val="0"/>
        <w:spacing w:lineRule="auto" w:line="328" w:before="0" w:after="160"/>
        <w:ind w:left="200" w:right="200" w:firstLine="360"/>
        <w:jc w:val="left"/>
        <w:rPr/>
      </w:pPr>
      <w:r>
        <w:rPr/>
        <w:t>​</w:t>
      </w:r>
    </w:p>
    <w:p>
      <w:pPr>
        <w:pStyle w:val="TextBody"/>
        <w:bidi w:val="0"/>
        <w:spacing w:lineRule="auto" w:line="285" w:before="120" w:after="360"/>
        <w:ind w:left="200" w:right="20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lineRule="auto" w:line="285" w:before="400" w:after="200"/>
        <w:ind w:left="200" w:right="20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bottom w:val="single" w:sz="8" w:space="1" w:color="000000"/>
        </w:pBdr>
        <w:bidi w:val="0"/>
        <w:spacing w:lineRule="auto" w:line="328" w:before="0" w:after="160"/>
        <w:ind w:left="200" w:right="200" w:firstLine="360"/>
        <w:jc w:val="left"/>
        <w:rPr>
          <w:color w:val="231F20"/>
        </w:rPr>
      </w:pPr>
      <w:bookmarkStart w:id="471" w:name="_Toc187499199"/>
      <w:bookmarkEnd w:id="471"/>
      <w:r>
        <w:rPr>
          <w:color w:val="231F20"/>
        </w:rPr>
        <w:t>​</w:t>
      </w:r>
    </w:p>
    <w:p>
      <w:pPr>
        <w:pStyle w:val="TextBody"/>
        <w:bidi w:val="0"/>
        <w:spacing w:lineRule="auto" w:line="328" w:before="0" w:after="160"/>
        <w:ind w:left="200" w:right="200" w:hanging="0"/>
        <w:jc w:val="center"/>
        <w:rPr/>
      </w:pPr>
      <w:r>
        <w:rPr/>
        <w:t>​</w:t>
      </w:r>
    </w:p>
    <w:p>
      <w:pPr>
        <w:pStyle w:val="TextBody"/>
        <w:bidi w:val="0"/>
        <w:spacing w:lineRule="auto" w:line="328" w:before="0" w:after="160"/>
        <w:ind w:left="200" w:right="200" w:hanging="0"/>
        <w:jc w:val="center"/>
        <w:rPr/>
      </w:pPr>
      <w:r>
        <w:rPr/>
        <w:t>​</w:t>
      </w:r>
    </w:p>
    <w:p>
      <w:pPr>
        <w:pStyle w:val="TextBody"/>
        <w:bidi w:val="0"/>
        <w:spacing w:lineRule="auto" w:line="285" w:before="0" w:after="240"/>
        <w:ind w:left="200" w:right="200" w:hanging="0"/>
        <w:jc w:val="center"/>
        <w:rPr>
          <w:rFonts w:ascii="Times New Roman;Times;serif" w:hAnsi="Times New Roman;Times;serif"/>
          <w:b/>
          <w:sz w:val="20"/>
        </w:rPr>
      </w:pPr>
      <w:bookmarkStart w:id="472" w:name="_b7c592e0_848a_4a1a_b70e_3c5540787019"/>
      <w:bookmarkEnd w:id="472"/>
      <w:r>
        <w:rPr>
          <w:rFonts w:ascii="Times New Roman;Times;serif" w:hAnsi="Times New Roman;Times;serif"/>
          <w:b/>
          <w:sz w:val="20"/>
        </w:rPr>
        <w:t>$50,000,000</w:t>
      </w:r>
    </w:p>
    <w:p>
      <w:pPr>
        <w:pStyle w:val="TextBody"/>
        <w:bidi w:val="0"/>
        <w:spacing w:lineRule="auto" w:line="328" w:before="0" w:after="160"/>
        <w:ind w:left="200" w:right="200" w:hanging="0"/>
        <w:jc w:val="center"/>
        <w:rPr>
          <w:color w:val="231F20"/>
        </w:rPr>
      </w:pPr>
      <w:r>
        <w:rPr>
          <w:color w:val="231F20"/>
        </w:rPr>
        <w:t>​</w:t>
      </w:r>
    </w:p>
    <w:p>
      <w:pPr>
        <w:pStyle w:val="TextBody"/>
        <w:bidi w:val="0"/>
        <w:spacing w:lineRule="auto" w:line="285" w:before="0" w:after="240"/>
        <w:ind w:left="200" w:right="200" w:hanging="0"/>
        <w:jc w:val="center"/>
        <w:rPr>
          <w:rFonts w:ascii="Times New Roman;Times;serif" w:hAnsi="Times New Roman;Times;serif"/>
          <w:b/>
          <w:color w:val="231F20"/>
          <w:sz w:val="40"/>
        </w:rPr>
      </w:pPr>
      <w:bookmarkStart w:id="473" w:name="RUNWAYGROWTHFINANCECORP_520561"/>
      <w:bookmarkEnd w:id="473"/>
      <w:r>
        <w:rPr>
          <w:rFonts w:ascii="Times New Roman;Times;serif" w:hAnsi="Times New Roman;Times;serif"/>
          <w:b/>
          <w:color w:val="231F20"/>
          <w:sz w:val="40"/>
        </w:rPr>
        <w:t>Runway Growth Finance Corp.</w:t>
      </w:r>
    </w:p>
    <w:p>
      <w:pPr>
        <w:pStyle w:val="TextBody"/>
        <w:bidi w:val="0"/>
        <w:spacing w:lineRule="auto" w:line="285" w:before="0" w:after="240"/>
        <w:ind w:left="200" w:right="200" w:hanging="0"/>
        <w:jc w:val="center"/>
        <w:rPr>
          <w:rFonts w:ascii="Times New Roman;Times;serif" w:hAnsi="Times New Roman;Times;serif"/>
          <w:b/>
          <w:color w:val="231F20"/>
          <w:sz w:val="28"/>
        </w:rPr>
      </w:pPr>
      <w:r>
        <w:rPr>
          <w:rFonts w:ascii="Times New Roman;Times;serif" w:hAnsi="Times New Roman;Times;serif"/>
          <w:b/>
          <w:color w:val="231F20"/>
          <w:sz w:val="28"/>
        </w:rPr>
        <w:t>7.00% Notes due 2029</w:t>
      </w:r>
    </w:p>
    <w:p>
      <w:pPr>
        <w:pStyle w:val="TextBody"/>
        <w:bidi w:val="0"/>
        <w:spacing w:lineRule="auto" w:line="328" w:before="0" w:after="160"/>
        <w:ind w:left="200" w:right="200" w:hanging="0"/>
        <w:jc w:val="center"/>
        <w:rPr>
          <w:color w:val="231F20"/>
        </w:rPr>
      </w:pPr>
      <w:r>
        <w:rPr>
          <w:color w:val="231F20"/>
        </w:rPr>
        <w:t>​</w:t>
      </w:r>
    </w:p>
    <w:p>
      <w:pPr>
        <w:pStyle w:val="TextBody"/>
        <w:bidi w:val="0"/>
        <w:spacing w:lineRule="auto" w:line="328" w:before="0" w:after="160"/>
        <w:ind w:left="200" w:right="200" w:hanging="0"/>
        <w:jc w:val="center"/>
        <w:rPr>
          <w:color w:val="231F20"/>
        </w:rPr>
      </w:pPr>
      <w:r>
        <w:rPr>
          <w:color w:val="231F20"/>
        </w:rPr>
        <w:t>​</w:t>
      </w:r>
    </w:p>
    <w:p>
      <w:pPr>
        <w:pStyle w:val="TextBody"/>
        <w:bidi w:val="0"/>
        <w:spacing w:lineRule="auto" w:line="328" w:before="0" w:after="160"/>
        <w:ind w:left="200" w:right="200" w:hanging="0"/>
        <w:jc w:val="center"/>
        <w:rPr>
          <w:color w:val="231F20"/>
        </w:rPr>
      </w:pPr>
      <w:r>
        <w:rPr>
          <w:color w:val="231F20"/>
        </w:rPr>
        <w:t>​</w:t>
      </w:r>
    </w:p>
    <w:p>
      <w:pPr>
        <w:pStyle w:val="TextBody"/>
        <w:bidi w:val="0"/>
        <w:spacing w:lineRule="auto" w:line="328" w:before="0" w:after="160"/>
        <w:ind w:left="200" w:right="200" w:hanging="0"/>
        <w:jc w:val="center"/>
        <w:rPr>
          <w:color w:val="231F20"/>
        </w:rPr>
      </w:pPr>
      <w:r>
        <w:rPr>
          <w:color w:val="231F20"/>
        </w:rPr>
        <w:t>​</w:t>
      </w:r>
    </w:p>
    <w:p>
      <w:pPr>
        <w:pStyle w:val="TextBody"/>
        <w:bidi w:val="0"/>
        <w:spacing w:lineRule="auto" w:line="328" w:before="0" w:after="160"/>
        <w:ind w:left="200" w:right="200" w:hanging="0"/>
        <w:jc w:val="center"/>
        <w:rPr>
          <w:color w:val="231F20"/>
        </w:rPr>
      </w:pPr>
      <w:r>
        <w:rPr>
          <w:color w:val="231F20"/>
        </w:rPr>
        <w:t>​</w:t>
      </w:r>
    </w:p>
    <w:p>
      <w:pPr>
        <w:pStyle w:val="TextBody"/>
        <w:bidi w:val="0"/>
        <w:spacing w:lineRule="auto" w:line="285" w:before="0" w:after="240"/>
        <w:ind w:left="200" w:right="200" w:hanging="0"/>
        <w:jc w:val="center"/>
        <w:rPr>
          <w:rFonts w:ascii="Times New Roman;Times;serif" w:hAnsi="Times New Roman;Times;serif"/>
          <w:b/>
          <w:color w:val="231F20"/>
          <w:sz w:val="32"/>
        </w:rPr>
      </w:pPr>
      <w:r>
        <w:rPr>
          <w:rFonts w:ascii="Times New Roman;Times;serif" w:hAnsi="Times New Roman;Times;serif"/>
          <w:b/>
          <w:color w:val="231F20"/>
          <w:sz w:val="32"/>
        </w:rPr>
        <w:t>PROSPECTUS SUPPLEMENT</w:t>
      </w:r>
    </w:p>
    <w:p>
      <w:pPr>
        <w:pStyle w:val="TextBody"/>
        <w:bidi w:val="0"/>
        <w:spacing w:lineRule="auto" w:line="328" w:before="0" w:after="160"/>
        <w:ind w:left="200" w:right="200" w:hanging="0"/>
        <w:jc w:val="center"/>
        <w:rPr/>
      </w:pPr>
      <w:r>
        <w:rPr/>
        <w:t>​</w:t>
      </w:r>
    </w:p>
    <w:p>
      <w:pPr>
        <w:pStyle w:val="TextBody"/>
        <w:bidi w:val="0"/>
        <w:spacing w:lineRule="auto" w:line="328" w:before="0" w:after="160"/>
        <w:ind w:left="200" w:right="200" w:hanging="0"/>
        <w:jc w:val="center"/>
        <w:rPr/>
      </w:pPr>
      <w:r>
        <w:rPr/>
        <w:t>​</w:t>
      </w:r>
    </w:p>
    <w:p>
      <w:pPr>
        <w:pStyle w:val="TextBody"/>
        <w:bidi w:val="0"/>
        <w:spacing w:lineRule="auto" w:line="328" w:before="0" w:after="160"/>
        <w:ind w:left="200" w:right="200" w:hanging="0"/>
        <w:jc w:val="center"/>
        <w:rPr/>
      </w:pPr>
      <w:r>
        <w:rPr/>
        <w:t>​</w:t>
      </w:r>
    </w:p>
    <w:p>
      <w:pPr>
        <w:pStyle w:val="TextBody"/>
        <w:bidi w:val="0"/>
        <w:spacing w:lineRule="auto" w:line="328" w:before="0" w:after="160"/>
        <w:ind w:left="200" w:right="200" w:hanging="0"/>
        <w:jc w:val="center"/>
        <w:rPr/>
      </w:pPr>
      <w:r>
        <w:rPr/>
        <w:t>​</w:t>
      </w:r>
    </w:p>
    <w:p>
      <w:pPr>
        <w:pStyle w:val="TextBody"/>
        <w:bidi w:val="0"/>
        <w:spacing w:lineRule="auto" w:line="285" w:before="0" w:after="0"/>
        <w:ind w:left="200" w:right="200" w:hanging="0"/>
        <w:jc w:val="center"/>
        <w:rPr>
          <w:rFonts w:ascii="Times New Roman;Times;serif" w:hAnsi="Times New Roman;Times;serif"/>
          <w:i/>
          <w:sz w:val="20"/>
        </w:rPr>
      </w:pPr>
      <w:r>
        <w:rPr>
          <w:rFonts w:ascii="Times New Roman;Times;serif" w:hAnsi="Times New Roman;Times;serif"/>
          <w:i/>
          <w:sz w:val="20"/>
        </w:rPr>
        <w:t>Sole Book-Running Manager</w:t>
      </w:r>
    </w:p>
    <w:p>
      <w:pPr>
        <w:pStyle w:val="TextBody"/>
        <w:bidi w:val="0"/>
        <w:spacing w:lineRule="auto" w:line="285" w:before="0" w:after="240"/>
        <w:ind w:left="200" w:right="200" w:hanging="0"/>
        <w:jc w:val="center"/>
        <w:rPr>
          <w:rFonts w:ascii="Times New Roman;Times;serif" w:hAnsi="Times New Roman;Times;serif"/>
          <w:b/>
          <w:sz w:val="40"/>
        </w:rPr>
      </w:pPr>
      <w:r>
        <w:rPr>
          <w:rFonts w:ascii="Times New Roman;Times;serif" w:hAnsi="Times New Roman;Times;serif"/>
          <w:b/>
          <w:sz w:val="40"/>
        </w:rPr>
        <w:t>Oppenheimer &amp; Co.</w:t>
      </w:r>
    </w:p>
    <w:p>
      <w:pPr>
        <w:pStyle w:val="TextBody"/>
        <w:bidi w:val="0"/>
        <w:spacing w:lineRule="auto" w:line="285" w:before="0" w:after="0"/>
        <w:ind w:left="200" w:right="200" w:hanging="0"/>
        <w:jc w:val="center"/>
        <w:rPr>
          <w:rFonts w:ascii="Times New Roman;Times;serif" w:hAnsi="Times New Roman;Times;serif"/>
          <w:i/>
          <w:sz w:val="20"/>
        </w:rPr>
      </w:pPr>
      <w:r>
        <w:rPr>
          <w:rFonts w:ascii="Times New Roman;Times;serif" w:hAnsi="Times New Roman;Times;serif"/>
          <w:i/>
          <w:sz w:val="20"/>
        </w:rPr>
        <w:t>Co-Manager</w:t>
      </w:r>
    </w:p>
    <w:p>
      <w:pPr>
        <w:pStyle w:val="TextBody"/>
        <w:bidi w:val="0"/>
        <w:spacing w:lineRule="auto" w:line="285" w:before="0" w:after="240"/>
        <w:ind w:left="200" w:right="200" w:hanging="0"/>
        <w:jc w:val="center"/>
        <w:rPr>
          <w:rFonts w:ascii="Times New Roman;Times;serif" w:hAnsi="Times New Roman;Times;serif"/>
          <w:b/>
          <w:sz w:val="40"/>
        </w:rPr>
      </w:pPr>
      <w:r>
        <w:rPr>
          <w:rFonts w:ascii="Times New Roman;Times;serif" w:hAnsi="Times New Roman;Times;serif"/>
          <w:b/>
          <w:sz w:val="40"/>
        </w:rPr>
        <w:t>BC Partners Securities</w:t>
      </w:r>
    </w:p>
    <w:p>
      <w:pPr>
        <w:pStyle w:val="TextBody"/>
        <w:bidi w:val="0"/>
        <w:spacing w:lineRule="auto" w:line="328" w:before="0" w:after="160"/>
        <w:ind w:left="200" w:right="200" w:hanging="0"/>
        <w:jc w:val="center"/>
        <w:rPr/>
      </w:pPr>
      <w:r>
        <w:rPr/>
        <w:t>​</w:t>
      </w:r>
    </w:p>
    <w:p>
      <w:pPr>
        <w:pStyle w:val="TextBody"/>
        <w:bidi w:val="0"/>
        <w:spacing w:lineRule="auto" w:line="328" w:before="0" w:after="160"/>
        <w:ind w:left="200" w:right="200" w:hanging="0"/>
        <w:jc w:val="center"/>
        <w:rPr/>
      </w:pPr>
      <w:r>
        <w:rPr/>
        <w:t>​</w:t>
      </w:r>
    </w:p>
    <w:p>
      <w:pPr>
        <w:pStyle w:val="TextBody"/>
        <w:bidi w:val="0"/>
        <w:spacing w:lineRule="auto" w:line="328" w:before="0" w:after="160"/>
        <w:ind w:left="200" w:right="200" w:hanging="0"/>
        <w:jc w:val="center"/>
        <w:rPr/>
      </w:pPr>
      <w:r>
        <w:rPr/>
        <w:t>​</w:t>
      </w:r>
    </w:p>
    <w:p>
      <w:pPr>
        <w:pStyle w:val="TextBody"/>
        <w:bidi w:val="0"/>
        <w:spacing w:lineRule="auto" w:line="285" w:before="0" w:after="240"/>
        <w:ind w:left="200" w:right="200" w:hanging="0"/>
        <w:jc w:val="center"/>
        <w:rPr>
          <w:rFonts w:ascii="Aptos" w:hAnsi="Aptos"/>
          <w:sz w:val="20"/>
        </w:rPr>
      </w:pPr>
      <w:r>
        <w:rPr>
          <w:rFonts w:ascii="Times New Roman;Times;serif" w:hAnsi="Times New Roman;Times;serif"/>
          <w:b/>
          <w:color w:val="231F20"/>
          <w:sz w:val="20"/>
        </w:rPr>
        <w:t>May 27</w:t>
      </w:r>
      <w:r>
        <w:rPr>
          <w:rFonts w:ascii="Times New Roman;Times;serif" w:hAnsi="Times New Roman;Times;serif"/>
          <w:b/>
          <w:color w:val="231F20"/>
          <w:sz w:val="24"/>
        </w:rPr>
        <w:t>, 2026</w:t>
      </w:r>
    </w:p>
    <w:p>
      <w:pPr>
        <w:pStyle w:val="TextBody"/>
        <w:pBdr>
          <w:top w:val="single" w:sz="8" w:space="1" w:color="000000"/>
          <w:bottom w:val="single" w:sz="24" w:space="1" w:color="000000"/>
        </w:pBdr>
        <w:bidi w:val="0"/>
        <w:spacing w:lineRule="auto" w:line="328" w:before="0" w:after="160"/>
        <w:ind w:left="200" w:right="200" w:firstLine="360"/>
        <w:jc w:val="left"/>
        <w:rPr>
          <w:color w:val="231F20"/>
        </w:rPr>
      </w:pPr>
      <w:r>
        <w:rPr>
          <w:color w:val="231F20"/>
        </w:rPr>
        <w:t>​</w:t>
      </w:r>
    </w:p>
    <w:p>
      <w:pPr>
        <w:pStyle w:val="TextBody"/>
        <w:bidi w:val="0"/>
        <w:spacing w:lineRule="auto" w:line="328" w:before="0" w:after="160"/>
        <w:ind w:left="200" w:right="200" w:hanging="0"/>
        <w:jc w:val="left"/>
        <w:rPr>
          <w:color w:val="231F20"/>
        </w:rPr>
      </w:pPr>
      <w:r>
        <w:rPr>
          <w:color w:val="231F20"/>
        </w:rPr>
        <w:t>​</w:t>
      </w:r>
    </w:p>
    <w:p>
      <w:pPr>
        <w:pStyle w:val="TextBody"/>
        <w:bidi w:val="0"/>
        <w:spacing w:lineRule="auto" w:line="285" w:before="0" w:after="0"/>
        <w:ind w:left="200" w:right="200" w:hanging="0"/>
        <w:jc w:val="center"/>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 w:name="Times NR MT Pr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53384/000119312526104117/rway-20251231.htm" TargetMode="External"/><Relationship Id="rId3" Type="http://schemas.openxmlformats.org/officeDocument/2006/relationships/hyperlink" Target="https://www.sec.gov/ix?doc=/Archives/edgar/data/1653384/000095017024027913/rway-20231231.htm" TargetMode="External"/><Relationship Id="rId4" Type="http://schemas.openxmlformats.org/officeDocument/2006/relationships/hyperlink" Target="https://www.sec.gov/ix?doc=/Archives/edgar/data/1653384/000119312526104117/rway-20251231.htm" TargetMode="External"/><Relationship Id="rId5" Type="http://schemas.openxmlformats.org/officeDocument/2006/relationships/hyperlink" Target="https://www.sec.gov/ix?doc=/Archives/edgar/data/1653384/000119312526211877/rway-20260331.htm" TargetMode="External"/><Relationship Id="rId6" Type="http://schemas.openxmlformats.org/officeDocument/2006/relationships/hyperlink" Target="https://www.sec.gov/ix?doc=/Archives/edgar/data/1653384/000119312526192150/rway-20260428.htm" TargetMode="External"/><Relationship Id="rId7" Type="http://schemas.openxmlformats.org/officeDocument/2006/relationships/hyperlink" Target="https://www.sec.gov/ix?doc=/Archives/edgar/data/1653384/000110465926007780/tm264314d1_8k.htm" TargetMode="External"/><Relationship Id="rId8" Type="http://schemas.openxmlformats.org/officeDocument/2006/relationships/hyperlink" Target="https://www.sec.gov/ix?doc=/Archives/edgar/data/1653384/000110465926009736/tm264911d1_8k.htm" TargetMode="External"/><Relationship Id="rId9" Type="http://schemas.openxmlformats.org/officeDocument/2006/relationships/hyperlink" Target="https://www.sec.gov/ix?doc=/Archives/edgar/data/1653384/000119312526144599/rway-20260407.htm" TargetMode="External"/><Relationship Id="rId10" Type="http://schemas.openxmlformats.org/officeDocument/2006/relationships/hyperlink" Target="https://www.sec.gov/Archives/edgar/data/1653384/000110465921127885/tm2130527d1_8a12b.htm" TargetMode="External"/><Relationship Id="rId11" Type="http://schemas.openxmlformats.org/officeDocument/2006/relationships/hyperlink" Target="https://www.sec.gov/Archives/edgar/data/1653384/000110465921127885/tm2130527d1_8a12b.htm"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hyperlink" Target="https://www.sec.gov/ix?doc=/Archives/edgar/data/1653384/000110465924120133/tm2428660d1_8k.htm" TargetMode="External"/><Relationship Id="rId15" Type="http://schemas.openxmlformats.org/officeDocument/2006/relationships/hyperlink" Target="https://www.sec.gov/ix?doc=/Archives/edgar/data/1653384/000110465925024489/tm259526d1_8k.htm" TargetMode="External"/><Relationship Id="rId16" Type="http://schemas.openxmlformats.org/officeDocument/2006/relationships/hyperlink" Target="https://www.sec.gov/ix?doc=/Archives/edgar/data/1653384/000095017024027913/rway-20231231.htm" TargetMode="External"/><Relationship Id="rId17" Type="http://schemas.openxmlformats.org/officeDocument/2006/relationships/hyperlink" Target="https://www.sec.gov/ix?doc=/Archives/edgar/data/1653384/000095017024027913/rway-20231231.htm" TargetMode="External"/><Relationship Id="rId18" Type="http://schemas.openxmlformats.org/officeDocument/2006/relationships/hyperlink" Target="https://www.sec.gov/Archives/edgar/data/1653384/000110465924077786/tm242737-2_def14a.htm" TargetMode="External"/><Relationship Id="rId19" Type="http://schemas.openxmlformats.org/officeDocument/2006/relationships/hyperlink" Target="https://www.sec.gov/Archives/edgar/data/1653384/000110465924128500/tm2427219-2_def14a.htm" TargetMode="External"/><Relationship Id="rId20" Type="http://schemas.openxmlformats.org/officeDocument/2006/relationships/hyperlink" Target="https://www.sec.gov/ix?doc=/Archives/edgar/data/1653384/000095017024054449/rway-20240331.htm" TargetMode="External"/><Relationship Id="rId21" Type="http://schemas.openxmlformats.org/officeDocument/2006/relationships/hyperlink" Target="https://www.sec.gov/ix?doc=/Archives/edgar/data/1653384/000095017024093857/rway-20240630.htm" TargetMode="External"/><Relationship Id="rId22" Type="http://schemas.openxmlformats.org/officeDocument/2006/relationships/hyperlink" Target="https://www.sec.gov/ix?doc=/Archives/edgar/data/1653384/000095017024125299/rway-20240930.htm" TargetMode="External"/><Relationship Id="rId23" Type="http://schemas.openxmlformats.org/officeDocument/2006/relationships/hyperlink" Target="https://www.sec.gov/ix?doc=/Archives/edgar/data/1653384/000110465924003319/tm243049d1_8k.htm" TargetMode="External"/><Relationship Id="rId24" Type="http://schemas.openxmlformats.org/officeDocument/2006/relationships/hyperlink" Target="https://www.sec.gov/ix?doc=/Archives/edgar/data/1653384/000110465924031719/tm248210d1_8k.htm" TargetMode="External"/><Relationship Id="rId25" Type="http://schemas.openxmlformats.org/officeDocument/2006/relationships/hyperlink" Target="https://www.sec.gov/ix?doc=/Archives/edgar/data/1653384/000095017024027909/rway-20240307.htm" TargetMode="External"/><Relationship Id="rId26" Type="http://schemas.openxmlformats.org/officeDocument/2006/relationships/hyperlink" Target="https://www.sec.gov/ix?doc=/Archives/edgar/data/1653384/000110465924045246/tm2411388d1_8k.htm" TargetMode="External"/><Relationship Id="rId27" Type="http://schemas.openxmlformats.org/officeDocument/2006/relationships/hyperlink" Target="https://www.sec.gov/ix?doc=/Archives/edgar/data/1653384/000095017024054340/rway-20240507.htm" TargetMode="External"/><Relationship Id="rId28" Type="http://schemas.openxmlformats.org/officeDocument/2006/relationships/hyperlink" Target="https://www.sec.gov/ix?doc=/Archives/edgar/data/1653384/000110465924061483/tm2414444d1_8k.htm" TargetMode="External"/><Relationship Id="rId29" Type="http://schemas.openxmlformats.org/officeDocument/2006/relationships/hyperlink" Target="https://www.sec.gov/ix?doc=/Archives/edgar/data/1653384/000110465924079115/tm2419210d1_8k.htm" TargetMode="External"/><Relationship Id="rId30" Type="http://schemas.openxmlformats.org/officeDocument/2006/relationships/hyperlink" Target="https://www.sec.gov/ix?doc=/Archives/edgar/data/1653384/000095017024093902/rway-20240808.htm" TargetMode="External"/><Relationship Id="rId31" Type="http://schemas.openxmlformats.org/officeDocument/2006/relationships/hyperlink" Target="https://www.sec.gov/ix?doc=/Archives/edgar/data/1653384/000110465924092873/tm2422580d1_8k.htm" TargetMode="External"/><Relationship Id="rId32" Type="http://schemas.openxmlformats.org/officeDocument/2006/relationships/hyperlink" Target="https://www.sec.gov/ix?doc=/Archives/edgar/data/1653384/000110465924107051/tm2425772d1_8k.htm" TargetMode="External"/><Relationship Id="rId33" Type="http://schemas.openxmlformats.org/officeDocument/2006/relationships/hyperlink" Target="https://www.sec.gov/ix?doc=/Archives/edgar/data/1653384/000110465924113138/tm2427161d1_8k.htm" TargetMode="External"/><Relationship Id="rId34" Type="http://schemas.openxmlformats.org/officeDocument/2006/relationships/hyperlink" Target="https://www.sec.gov/ix?doc=/Archives/edgar/data/1653384/000095017024125291/rway-20241112.htm" TargetMode="External"/><Relationship Id="rId35" Type="http://schemas.openxmlformats.org/officeDocument/2006/relationships/hyperlink" Target="https://www.sec.gov/ix?doc=/Archives/edgar/data/1653384/000110465924120133/tm2428660d1_8k.htm" TargetMode="External"/><Relationship Id="rId36" Type="http://schemas.openxmlformats.org/officeDocument/2006/relationships/hyperlink" Target="https://www.sec.gov/ix?doc=/Archives/edgar/data/1653384/000110465925024489/tm259526d1_8k.htm" TargetMode="External"/><Relationship Id="rId37" Type="http://schemas.openxmlformats.org/officeDocument/2006/relationships/hyperlink" Target="https://www.sec.gov/Archives/edgar/data/1653384/000110465921127885/tm2130527d1_8a12b.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74866</Words>
  <Characters>394577</Characters>
  <CharactersWithSpaces>470476</CharactersWithSpaces>
  <Paragraphs>8203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