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306070</wp:posOffset>
            </wp:positionV>
            <wp:extent cx="61893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357505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499"/>
        <w:spacing w:after="0"/>
        <w:rPr>
          <w:sz w:val="20"/>
          <w:szCs w:val="20"/>
          <w:color w:val="auto"/>
        </w:rPr>
      </w:pPr>
      <w:r>
        <w:rPr>
          <w:rFonts w:ascii="Arial" w:cs="Arial" w:eastAsia="Arial" w:hAnsi="Arial"/>
          <w:sz w:val="20"/>
          <w:szCs w:val="20"/>
          <w:b w:val="1"/>
          <w:bCs w:val="1"/>
          <w:color w:val="auto"/>
        </w:rPr>
        <w:t>UNITED STATES</w:t>
      </w:r>
    </w:p>
    <w:p>
      <w:pPr>
        <w:spacing w:after="0" w:line="8" w:lineRule="exact"/>
        <w:rPr>
          <w:sz w:val="24"/>
          <w:szCs w:val="24"/>
          <w:color w:val="auto"/>
        </w:rPr>
      </w:pPr>
    </w:p>
    <w:p>
      <w:pPr>
        <w:jc w:val="center"/>
        <w:ind w:right="-49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112395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9" w:lineRule="exact"/>
        <w:rPr>
          <w:sz w:val="24"/>
          <w:szCs w:val="24"/>
          <w:color w:val="auto"/>
        </w:rPr>
      </w:pPr>
    </w:p>
    <w:p>
      <w:pPr>
        <w:ind w:left="4840"/>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125730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9" w:lineRule="exact"/>
        <w:rPr>
          <w:sz w:val="24"/>
          <w:szCs w:val="24"/>
          <w:color w:val="auto"/>
        </w:rPr>
      </w:pPr>
    </w:p>
    <w:p>
      <w:pPr>
        <w:ind w:left="500"/>
        <w:spacing w:after="0"/>
        <w:rPr>
          <w:sz w:val="20"/>
          <w:szCs w:val="20"/>
          <w:color w:val="auto"/>
        </w:rPr>
      </w:pPr>
      <w:r>
        <w:rPr>
          <w:rFonts w:ascii="Arial" w:cs="Arial" w:eastAsia="Arial" w:hAnsi="Arial"/>
          <w:sz w:val="16"/>
          <w:szCs w:val="16"/>
          <w:b w:val="1"/>
          <w:bCs w:val="1"/>
          <w:color w:val="auto"/>
        </w:rPr>
        <w:t>(Mark One)</w:t>
      </w:r>
    </w:p>
    <w:p>
      <w:pPr>
        <w:spacing w:after="0" w:line="59" w:lineRule="exact"/>
        <w:rPr>
          <w:sz w:val="24"/>
          <w:szCs w:val="24"/>
          <w:color w:val="auto"/>
        </w:rPr>
      </w:pPr>
    </w:p>
    <w:p>
      <w:pPr>
        <w:ind w:left="3460" w:right="1120" w:hanging="2606"/>
        <w:spacing w:after="0" w:line="308" w:lineRule="auto"/>
        <w:tabs>
          <w:tab w:leader="none" w:pos="121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2019</w:t>
      </w:r>
    </w:p>
    <w:p>
      <w:pPr>
        <w:spacing w:after="0" w:line="27" w:lineRule="exact"/>
        <w:rPr>
          <w:sz w:val="24"/>
          <w:szCs w:val="24"/>
          <w:color w:val="auto"/>
        </w:rPr>
      </w:pPr>
    </w:p>
    <w:p>
      <w:pPr>
        <w:ind w:left="1220" w:hanging="366"/>
        <w:spacing w:after="0"/>
        <w:tabs>
          <w:tab w:leader="none" w:pos="12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2" w:lineRule="exact"/>
        <w:rPr>
          <w:rFonts w:ascii="MS PGothic" w:cs="MS PGothic" w:eastAsia="MS PGothic" w:hAnsi="MS PGothic"/>
          <w:sz w:val="16"/>
          <w:szCs w:val="16"/>
          <w:color w:val="auto"/>
        </w:rPr>
      </w:pPr>
    </w:p>
    <w:p>
      <w:pPr>
        <w:ind w:left="38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814-01180</w:t>
      </w:r>
    </w:p>
    <w:p>
      <w:pPr>
        <w:spacing w:after="0" w:line="45"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Runway Growth Credit Fund Inc.</w:t>
      </w:r>
    </w:p>
    <w:p>
      <w:pPr>
        <w:spacing w:after="0" w:line="53" w:lineRule="exact"/>
        <w:rPr>
          <w:sz w:val="24"/>
          <w:szCs w:val="24"/>
          <w:color w:val="auto"/>
        </w:rPr>
      </w:pPr>
    </w:p>
    <w:p>
      <w:pPr>
        <w:ind w:left="3700"/>
        <w:spacing w:after="0"/>
        <w:rPr>
          <w:sz w:val="20"/>
          <w:szCs w:val="20"/>
          <w:color w:val="auto"/>
        </w:rPr>
      </w:pPr>
      <w:r>
        <w:rPr>
          <w:rFonts w:ascii="Arial" w:cs="Arial" w:eastAsia="Arial" w:hAnsi="Arial"/>
          <w:sz w:val="16"/>
          <w:szCs w:val="16"/>
          <w:color w:val="auto"/>
        </w:rPr>
        <w:t>(Exact name of registrant as specified in its charter)</w:t>
      </w:r>
    </w:p>
    <w:p>
      <w:pPr>
        <w:spacing w:after="0" w:line="71" w:lineRule="exact"/>
        <w:rPr>
          <w:sz w:val="24"/>
          <w:szCs w:val="24"/>
          <w:color w:val="auto"/>
        </w:rPr>
      </w:pPr>
    </w:p>
    <w:tbl>
      <w:tblPr>
        <w:tblLayout w:type="fixed"/>
        <w:tblInd w:w="2100" w:type="dxa"/>
        <w:tblCellMar>
          <w:top w:w="0" w:type="dxa"/>
          <w:left w:w="0" w:type="dxa"/>
          <w:bottom w:w="0" w:type="dxa"/>
          <w:right w:w="0" w:type="dxa"/>
        </w:tblCellMar>
      </w:tblPr>
      <w:tr>
        <w:trPr>
          <w:trHeight w:val="198"/>
        </w:trPr>
        <w:tc>
          <w:tcPr>
            <w:tcW w:w="3300" w:type="dxa"/>
            <w:vAlign w:val="bottom"/>
          </w:tcPr>
          <w:p>
            <w:pPr>
              <w:ind w:left="760"/>
              <w:spacing w:after="0"/>
              <w:rPr>
                <w:sz w:val="20"/>
                <w:szCs w:val="20"/>
                <w:color w:val="auto"/>
              </w:rPr>
            </w:pPr>
            <w:r>
              <w:rPr>
                <w:rFonts w:ascii="Arial" w:cs="Arial" w:eastAsia="Arial" w:hAnsi="Arial"/>
                <w:sz w:val="16"/>
                <w:szCs w:val="16"/>
                <w:b w:val="1"/>
                <w:bCs w:val="1"/>
                <w:color w:val="auto"/>
              </w:rPr>
              <w:t>Maryland</w:t>
            </w:r>
          </w:p>
        </w:tc>
        <w:tc>
          <w:tcPr>
            <w:tcW w:w="3120" w:type="dxa"/>
            <w:vAlign w:val="bottom"/>
          </w:tcPr>
          <w:p>
            <w:pPr>
              <w:jc w:val="right"/>
              <w:ind w:right="584"/>
              <w:spacing w:after="0"/>
              <w:rPr>
                <w:sz w:val="20"/>
                <w:szCs w:val="20"/>
                <w:color w:val="auto"/>
              </w:rPr>
            </w:pPr>
            <w:r>
              <w:rPr>
                <w:rFonts w:ascii="Arial" w:cs="Arial" w:eastAsia="Arial" w:hAnsi="Arial"/>
                <w:sz w:val="16"/>
                <w:szCs w:val="16"/>
                <w:b w:val="1"/>
                <w:bCs w:val="1"/>
                <w:color w:val="auto"/>
              </w:rPr>
              <w:t>47-5049745</w:t>
            </w:r>
          </w:p>
        </w:tc>
      </w:tr>
      <w:tr>
        <w:trPr>
          <w:trHeight w:val="182"/>
        </w:trPr>
        <w:tc>
          <w:tcPr>
            <w:tcW w:w="3300" w:type="dxa"/>
            <w:vAlign w:val="bottom"/>
          </w:tcPr>
          <w:p>
            <w:pPr>
              <w:jc w:val="center"/>
              <w:ind w:right="963"/>
              <w:spacing w:after="0"/>
              <w:rPr>
                <w:sz w:val="20"/>
                <w:szCs w:val="20"/>
                <w:color w:val="auto"/>
              </w:rPr>
            </w:pPr>
            <w:r>
              <w:rPr>
                <w:rFonts w:ascii="Arial" w:cs="Arial" w:eastAsia="Arial" w:hAnsi="Arial"/>
                <w:sz w:val="14"/>
                <w:szCs w:val="14"/>
                <w:color w:val="auto"/>
                <w:w w:val="94"/>
              </w:rPr>
              <w:t>(State of incorporation)</w:t>
            </w:r>
          </w:p>
        </w:tc>
        <w:tc>
          <w:tcPr>
            <w:tcW w:w="3120" w:type="dxa"/>
            <w:vAlign w:val="bottom"/>
          </w:tcPr>
          <w:p>
            <w:pPr>
              <w:jc w:val="center"/>
              <w:ind w:left="964"/>
              <w:spacing w:after="0"/>
              <w:rPr>
                <w:sz w:val="20"/>
                <w:szCs w:val="20"/>
                <w:color w:val="auto"/>
              </w:rPr>
            </w:pPr>
            <w:r>
              <w:rPr>
                <w:rFonts w:ascii="Arial" w:cs="Arial" w:eastAsia="Arial" w:hAnsi="Arial"/>
                <w:sz w:val="14"/>
                <w:szCs w:val="14"/>
                <w:color w:val="auto"/>
                <w:w w:val="96"/>
              </w:rPr>
              <w:t>(I.R.S. Employer Identification No.)</w:t>
            </w:r>
          </w:p>
        </w:tc>
      </w:tr>
      <w:tr>
        <w:trPr>
          <w:trHeight w:val="228"/>
        </w:trPr>
        <w:tc>
          <w:tcPr>
            <w:tcW w:w="3300" w:type="dxa"/>
            <w:vAlign w:val="bottom"/>
          </w:tcPr>
          <w:p>
            <w:pPr>
              <w:jc w:val="center"/>
              <w:ind w:right="963"/>
              <w:spacing w:after="0"/>
              <w:rPr>
                <w:sz w:val="20"/>
                <w:szCs w:val="20"/>
                <w:color w:val="auto"/>
              </w:rPr>
            </w:pPr>
            <w:r>
              <w:rPr>
                <w:rFonts w:ascii="Arial" w:cs="Arial" w:eastAsia="Arial" w:hAnsi="Arial"/>
                <w:sz w:val="16"/>
                <w:szCs w:val="16"/>
                <w:b w:val="1"/>
                <w:bCs w:val="1"/>
                <w:color w:val="auto"/>
                <w:w w:val="91"/>
              </w:rPr>
              <w:t>205 N. Michigan Ave., Suite 4200</w:t>
            </w:r>
          </w:p>
        </w:tc>
        <w:tc>
          <w:tcPr>
            <w:tcW w:w="3120" w:type="dxa"/>
            <w:vAlign w:val="bottom"/>
          </w:tcPr>
          <w:p>
            <w:pPr>
              <w:spacing w:after="0"/>
              <w:rPr>
                <w:sz w:val="19"/>
                <w:szCs w:val="19"/>
                <w:color w:val="auto"/>
              </w:rPr>
            </w:pPr>
          </w:p>
        </w:tc>
      </w:tr>
      <w:tr>
        <w:trPr>
          <w:trHeight w:val="198"/>
        </w:trPr>
        <w:tc>
          <w:tcPr>
            <w:tcW w:w="3300" w:type="dxa"/>
            <w:vAlign w:val="bottom"/>
          </w:tcPr>
          <w:p>
            <w:pPr>
              <w:jc w:val="center"/>
              <w:ind w:right="963"/>
              <w:spacing w:after="0"/>
              <w:rPr>
                <w:sz w:val="20"/>
                <w:szCs w:val="20"/>
                <w:color w:val="auto"/>
              </w:rPr>
            </w:pPr>
            <w:r>
              <w:rPr>
                <w:rFonts w:ascii="Arial" w:cs="Arial" w:eastAsia="Arial" w:hAnsi="Arial"/>
                <w:sz w:val="16"/>
                <w:szCs w:val="16"/>
                <w:b w:val="1"/>
                <w:bCs w:val="1"/>
                <w:color w:val="auto"/>
                <w:w w:val="95"/>
              </w:rPr>
              <w:t>Chicago, IL</w:t>
            </w:r>
          </w:p>
        </w:tc>
        <w:tc>
          <w:tcPr>
            <w:tcW w:w="3120" w:type="dxa"/>
            <w:vAlign w:val="bottom"/>
          </w:tcPr>
          <w:p>
            <w:pPr>
              <w:jc w:val="right"/>
              <w:ind w:right="784"/>
              <w:spacing w:after="0"/>
              <w:rPr>
                <w:sz w:val="20"/>
                <w:szCs w:val="20"/>
                <w:color w:val="auto"/>
              </w:rPr>
            </w:pPr>
            <w:r>
              <w:rPr>
                <w:rFonts w:ascii="Arial" w:cs="Arial" w:eastAsia="Arial" w:hAnsi="Arial"/>
                <w:sz w:val="16"/>
                <w:szCs w:val="16"/>
                <w:b w:val="1"/>
                <w:bCs w:val="1"/>
                <w:color w:val="auto"/>
              </w:rPr>
              <w:t>60601</w:t>
            </w:r>
          </w:p>
        </w:tc>
      </w:tr>
      <w:tr>
        <w:trPr>
          <w:trHeight w:val="182"/>
        </w:trPr>
        <w:tc>
          <w:tcPr>
            <w:tcW w:w="3300" w:type="dxa"/>
            <w:vAlign w:val="bottom"/>
          </w:tcPr>
          <w:p>
            <w:pPr>
              <w:jc w:val="center"/>
              <w:ind w:right="943"/>
              <w:spacing w:after="0"/>
              <w:rPr>
                <w:sz w:val="20"/>
                <w:szCs w:val="20"/>
                <w:color w:val="auto"/>
              </w:rPr>
            </w:pPr>
            <w:r>
              <w:rPr>
                <w:rFonts w:ascii="Arial" w:cs="Arial" w:eastAsia="Arial" w:hAnsi="Arial"/>
                <w:sz w:val="14"/>
                <w:szCs w:val="14"/>
                <w:color w:val="auto"/>
                <w:w w:val="95"/>
              </w:rPr>
              <w:t>(Address of principal executive offices)</w:t>
            </w:r>
          </w:p>
        </w:tc>
        <w:tc>
          <w:tcPr>
            <w:tcW w:w="3120" w:type="dxa"/>
            <w:vAlign w:val="bottom"/>
          </w:tcPr>
          <w:p>
            <w:pPr>
              <w:jc w:val="center"/>
              <w:ind w:left="964"/>
              <w:spacing w:after="0"/>
              <w:rPr>
                <w:sz w:val="20"/>
                <w:szCs w:val="20"/>
                <w:color w:val="auto"/>
              </w:rPr>
            </w:pPr>
            <w:r>
              <w:rPr>
                <w:rFonts w:ascii="Arial" w:cs="Arial" w:eastAsia="Arial" w:hAnsi="Arial"/>
                <w:sz w:val="14"/>
                <w:szCs w:val="14"/>
                <w:color w:val="auto"/>
                <w:w w:val="96"/>
              </w:rPr>
              <w:t>(Zip Code)</w:t>
            </w:r>
          </w:p>
        </w:tc>
      </w:tr>
    </w:tbl>
    <w:p>
      <w:pPr>
        <w:spacing w:after="0" w:line="106"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(312) 281-6270</w:t>
      </w:r>
    </w:p>
    <w:p>
      <w:pPr>
        <w:spacing w:after="0" w:line="26" w:lineRule="exact"/>
        <w:rPr>
          <w:sz w:val="24"/>
          <w:szCs w:val="24"/>
          <w:color w:val="auto"/>
        </w:rPr>
      </w:pPr>
    </w:p>
    <w:p>
      <w:pPr>
        <w:ind w:left="384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107950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7" w:lineRule="exact"/>
        <w:rPr>
          <w:sz w:val="24"/>
          <w:szCs w:val="24"/>
          <w:color w:val="auto"/>
        </w:rPr>
      </w:pPr>
    </w:p>
    <w:p>
      <w:pPr>
        <w:ind w:left="260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0240"/>
          </w:cols>
          <w:pgMar w:left="320" w:top="239" w:right="1339" w:bottom="1440" w:gutter="0" w:footer="0" w:header="0"/>
        </w:sectPr>
      </w:pPr>
    </w:p>
    <w:p>
      <w:pPr>
        <w:spacing w:after="0" w:line="77" w:lineRule="exact"/>
        <w:rPr>
          <w:sz w:val="24"/>
          <w:szCs w:val="24"/>
          <w:color w:val="auto"/>
        </w:rPr>
      </w:pPr>
    </w:p>
    <w:p>
      <w:pPr>
        <w:ind w:left="152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Trading Symbol(s)</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45" w:lineRule="exact"/>
        <w:rPr>
          <w:sz w:val="24"/>
          <w:szCs w:val="24"/>
          <w:color w:val="auto"/>
        </w:rPr>
      </w:pPr>
    </w:p>
    <w:p>
      <w:pPr>
        <w:sectPr>
          <w:pgSz w:w="11900" w:h="16838" w:orient="portrait"/>
          <w:cols w:equalWidth="0" w:num="3">
            <w:col w:w="4060" w:space="720"/>
            <w:col w:w="1840" w:space="720"/>
            <w:col w:w="2900"/>
          </w:cols>
          <w:pgMar w:left="320" w:top="239" w:right="1339" w:bottom="1440" w:gutter="0" w:footer="0" w:header="0"/>
          <w:type w:val="continuous"/>
        </w:sectPr>
      </w:pPr>
    </w:p>
    <w:p>
      <w:pPr>
        <w:spacing w:after="0" w:line="3" w:lineRule="exact"/>
        <w:rPr>
          <w:sz w:val="24"/>
          <w:szCs w:val="24"/>
          <w:color w:val="auto"/>
        </w:rPr>
      </w:pPr>
    </w:p>
    <w:p>
      <w:pPr>
        <w:ind w:left="1880"/>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w:t>
      </w:r>
    </w:p>
    <w:p>
      <w:pPr>
        <w:spacing w:after="0" w:line="127" w:lineRule="exact"/>
        <w:rPr>
          <w:sz w:val="24"/>
          <w:szCs w:val="24"/>
          <w:color w:val="auto"/>
        </w:rPr>
      </w:pPr>
    </w:p>
    <w:p>
      <w:pPr>
        <w:sectPr>
          <w:pgSz w:w="11900" w:h="16838" w:orient="portrait"/>
          <w:cols w:equalWidth="0" w:num="3">
            <w:col w:w="4500" w:space="720"/>
            <w:col w:w="2580" w:space="720"/>
            <w:col w:w="1720"/>
          </w:cols>
          <w:pgMar w:left="320" w:top="239" w:right="1339" w:bottom="1440" w:gutter="0" w:footer="0" w:header="0"/>
          <w:type w:val="continuous"/>
        </w:sectPr>
      </w:pPr>
    </w:p>
    <w:p>
      <w:pPr>
        <w:jc w:val="center"/>
        <w:ind w:right="-49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63" w:lineRule="exact"/>
        <w:rPr>
          <w:sz w:val="24"/>
          <w:szCs w:val="24"/>
          <w:color w:val="auto"/>
        </w:rPr>
      </w:pPr>
    </w:p>
    <w:p>
      <w:pPr>
        <w:jc w:val="center"/>
        <w:ind w:right="-499"/>
        <w:spacing w:after="0"/>
        <w:rPr>
          <w:sz w:val="20"/>
          <w:szCs w:val="20"/>
          <w:color w:val="auto"/>
        </w:rPr>
      </w:pPr>
      <w:r>
        <w:rPr>
          <w:rFonts w:ascii="Arial" w:cs="Arial" w:eastAsia="Arial" w:hAnsi="Arial"/>
          <w:sz w:val="16"/>
          <w:szCs w:val="16"/>
          <w:color w:val="auto"/>
        </w:rPr>
        <w:t>Common Stock, par value $0.01 per share</w:t>
      </w:r>
    </w:p>
    <w:p>
      <w:pPr>
        <w:spacing w:after="0" w:line="73"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109220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47" w:lineRule="exact"/>
        <w:rPr>
          <w:sz w:val="24"/>
          <w:szCs w:val="24"/>
          <w:color w:val="auto"/>
        </w:rPr>
      </w:pPr>
    </w:p>
    <w:p>
      <w:pPr>
        <w:ind w:left="860" w:right="600"/>
        <w:spacing w:after="0" w:line="249"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jc w:val="both"/>
        <w:ind w:left="500" w:right="20" w:firstLine="360"/>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jc w:val="both"/>
        <w:ind w:left="500" w:firstLine="360"/>
        <w:spacing w:after="0" w:line="19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jc w:val="both"/>
        <w:ind w:left="500" w:firstLine="36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320" w:top="239" w:right="1339" w:bottom="1440" w:gutter="0" w:footer="0" w:header="0"/>
          <w:type w:val="continuous"/>
        </w:sectPr>
      </w:pPr>
    </w:p>
    <w:p>
      <w:pPr>
        <w:spacing w:after="0" w:line="19" w:lineRule="exact"/>
        <w:rPr>
          <w:sz w:val="24"/>
          <w:szCs w:val="24"/>
          <w:color w:val="auto"/>
        </w:rPr>
      </w:pPr>
    </w:p>
    <w:p>
      <w:pPr>
        <w:ind w:left="8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4" w:lineRule="exact"/>
        <w:rPr>
          <w:sz w:val="24"/>
          <w:szCs w:val="24"/>
          <w:color w:val="auto"/>
        </w:rPr>
      </w:pPr>
    </w:p>
    <w:p>
      <w:pPr>
        <w:sectPr>
          <w:pgSz w:w="11900" w:h="16838" w:orient="portrait"/>
          <w:cols w:equalWidth="0" w:num="2">
            <w:col w:w="6540" w:space="720"/>
            <w:col w:w="2980"/>
          </w:cols>
          <w:pgMar w:left="320" w:top="239" w:right="1339" w:bottom="1440" w:gutter="0" w:footer="0" w:header="0"/>
          <w:type w:val="continuous"/>
        </w:sectPr>
      </w:pPr>
    </w:p>
    <w:p>
      <w:pPr>
        <w:ind w:left="86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96" w:lineRule="exact"/>
        <w:rPr>
          <w:sz w:val="24"/>
          <w:szCs w:val="24"/>
          <w:color w:val="auto"/>
        </w:rPr>
      </w:pPr>
    </w:p>
    <w:p>
      <w:pPr>
        <w:sectPr>
          <w:pgSz w:w="11900" w:h="16838" w:orient="portrait"/>
          <w:cols w:equalWidth="0" w:num="2">
            <w:col w:w="6540" w:space="720"/>
            <w:col w:w="2980"/>
          </w:cols>
          <w:pgMar w:left="320" w:top="239" w:right="1339" w:bottom="1440" w:gutter="0" w:footer="0" w:header="0"/>
          <w:type w:val="continuous"/>
        </w:sectPr>
      </w:pPr>
    </w:p>
    <w:p>
      <w:pPr>
        <w:ind w:left="8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0240"/>
          </w:cols>
          <w:pgMar w:left="320" w:top="239" w:right="1339" w:bottom="1440" w:gutter="0" w:footer="0" w:header="0"/>
          <w:type w:val="continuous"/>
        </w:sectPr>
      </w:pPr>
    </w:p>
    <w:p>
      <w:pPr>
        <w:spacing w:after="0" w:line="180" w:lineRule="exact"/>
        <w:rPr>
          <w:sz w:val="24"/>
          <w:szCs w:val="24"/>
          <w:color w:val="auto"/>
        </w:rPr>
      </w:pPr>
    </w:p>
    <w:p>
      <w:pPr>
        <w:jc w:val="both"/>
        <w:ind w:left="500" w:firstLine="36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860" w:right="960"/>
        <w:spacing w:after="0" w:line="24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December 31, 2019, there was no established public market for the registrant’s common stock.</w:t>
      </w:r>
    </w:p>
    <w:p>
      <w:pPr>
        <w:spacing w:after="0" w:line="3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59" w:lineRule="exact"/>
        <w:rPr>
          <w:sz w:val="24"/>
          <w:szCs w:val="24"/>
          <w:color w:val="auto"/>
        </w:rPr>
      </w:pPr>
    </w:p>
    <w:p>
      <w:pPr>
        <w:ind w:left="860"/>
        <w:spacing w:after="0"/>
        <w:rPr>
          <w:sz w:val="20"/>
          <w:szCs w:val="20"/>
          <w:color w:val="auto"/>
        </w:rPr>
      </w:pPr>
      <w:r>
        <w:rPr>
          <w:rFonts w:ascii="Arial" w:cs="Arial" w:eastAsia="Arial" w:hAnsi="Arial"/>
          <w:sz w:val="16"/>
          <w:szCs w:val="16"/>
          <w:color w:val="auto"/>
        </w:rPr>
        <w:t>The issuer had 25,811,214 shares of common stock, $0.01 par value per share, outstanding as of March 19, 2020.</w:t>
      </w:r>
    </w:p>
    <w:p>
      <w:pPr>
        <w:spacing w:after="0" w:line="78"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72" w:lineRule="exact"/>
        <w:rPr>
          <w:sz w:val="24"/>
          <w:szCs w:val="24"/>
          <w:color w:val="auto"/>
        </w:rPr>
      </w:pPr>
    </w:p>
    <w:p>
      <w:pPr>
        <w:jc w:val="both"/>
        <w:ind w:left="500" w:firstLine="360"/>
        <w:spacing w:after="0" w:line="243" w:lineRule="auto"/>
        <w:rPr>
          <w:sz w:val="20"/>
          <w:szCs w:val="20"/>
          <w:color w:val="auto"/>
        </w:rPr>
      </w:pPr>
      <w:r>
        <w:rPr>
          <w:rFonts w:ascii="Arial" w:cs="Arial" w:eastAsia="Arial" w:hAnsi="Arial"/>
          <w:sz w:val="16"/>
          <w:szCs w:val="16"/>
          <w:color w:val="auto"/>
        </w:rPr>
        <w:t>Portions of the registrant’s definitive proxy statement relating to the registrant’s 2020 annual meeting of stockholders (the “2020 Proxy Statement”), to be filed with the Securities and Exchange Commission within 120 days after the end of the fiscal year covered by this Annual Report on Form 10-K are incorporated by reference into Part III of this Form 10-K as indicated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105410</wp:posOffset>
            </wp:positionV>
            <wp:extent cx="6189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139700</wp:posOffset>
            </wp:positionV>
            <wp:extent cx="61893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6806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239" w:right="133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TABLE OF CONTENTS</w:t>
      </w:r>
    </w:p>
    <w:p>
      <w:pPr>
        <w:spacing w:after="0" w:line="17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gridSpan w:val="6"/>
          </w:tcPr>
          <w:p>
            <w:pPr>
              <w:ind w:left="60"/>
              <w:spacing w:after="0"/>
              <w:rPr>
                <w:sz w:val="20"/>
                <w:szCs w:val="20"/>
                <w:color w:val="auto"/>
              </w:rPr>
            </w:pPr>
            <w:r>
              <w:rPr>
                <w:rFonts w:ascii="Arial" w:cs="Arial" w:eastAsia="Arial" w:hAnsi="Arial"/>
                <w:sz w:val="14"/>
                <w:szCs w:val="14"/>
                <w:b w:val="1"/>
                <w:bCs w:val="1"/>
                <w:color w:val="auto"/>
              </w:rPr>
              <w:t>PAGE</w:t>
            </w:r>
          </w:p>
        </w:tc>
      </w:tr>
      <w:tr>
        <w:trPr>
          <w:trHeight w:val="39"/>
        </w:trPr>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91"/>
        </w:trPr>
        <w:tc>
          <w:tcPr>
            <w:tcW w:w="9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56"/>
        </w:trPr>
        <w:tc>
          <w:tcPr>
            <w:tcW w:w="94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6740" w:type="dxa"/>
            <w:vAlign w:val="bottom"/>
            <w:gridSpan w:val="2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Business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2">
              <w:r>
                <w:rPr>
                  <w:rFonts w:ascii="Arial" w:cs="Arial" w:eastAsia="Arial" w:hAnsi="Arial"/>
                  <w:sz w:val="18"/>
                  <w:szCs w:val="18"/>
                  <w:color w:val="0000EE"/>
                </w:rPr>
                <w:t>1</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940" w:type="dxa"/>
            <w:vAlign w:val="bottom"/>
            <w:gridSpan w:val="5"/>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6740" w:type="dxa"/>
            <w:vAlign w:val="bottom"/>
            <w:gridSpan w:val="22"/>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400" w:type="dxa"/>
            <w:vAlign w:val="bottom"/>
            <w:gridSpan w:val="5"/>
            <w:shd w:val="clear" w:color="auto" w:fill="CCEEFF"/>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c>
          <w:tcPr>
            <w:tcW w:w="140" w:type="dxa"/>
            <w:vAlign w:val="bottom"/>
            <w:shd w:val="clear" w:color="auto" w:fill="CCEEFF"/>
          </w:tcPr>
          <w:p>
            <w:pPr>
              <w:spacing w:after="0"/>
              <w:rPr>
                <w:sz w:val="22"/>
                <w:szCs w:val="22"/>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640" w:type="dxa"/>
            <w:vAlign w:val="bottom"/>
            <w:gridSpan w:val="3"/>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Item 1B.</w:t>
              </w:r>
            </w:hyperlink>
          </w:p>
        </w:tc>
        <w:tc>
          <w:tcPr>
            <w:tcW w:w="300" w:type="dxa"/>
            <w:vAlign w:val="bottom"/>
            <w:gridSpan w:val="2"/>
          </w:tcPr>
          <w:p>
            <w:pPr>
              <w:spacing w:after="0"/>
              <w:rPr>
                <w:sz w:val="22"/>
                <w:szCs w:val="22"/>
                <w:color w:val="auto"/>
              </w:rPr>
            </w:pPr>
          </w:p>
        </w:tc>
        <w:tc>
          <w:tcPr>
            <w:tcW w:w="674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Unresolved Staff Comments</w:t>
              </w:r>
            </w:hyperlink>
          </w:p>
        </w:tc>
        <w:tc>
          <w:tcPr>
            <w:tcW w:w="400" w:type="dxa"/>
            <w:vAlign w:val="bottom"/>
            <w:gridSpan w:val="5"/>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c>
          <w:tcPr>
            <w:tcW w:w="140" w:type="dxa"/>
            <w:vAlign w:val="bottom"/>
          </w:tcPr>
          <w:p>
            <w:pPr>
              <w:spacing w:after="0"/>
              <w:rPr>
                <w:sz w:val="22"/>
                <w:szCs w:val="22"/>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6"/>
        </w:trPr>
        <w:tc>
          <w:tcPr>
            <w:tcW w:w="520" w:type="dxa"/>
            <w:vAlign w:val="bottom"/>
            <w:shd w:val="clear" w:color="auto" w:fill="CCEEFF"/>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2.</w:t>
              </w:r>
            </w:hyperlink>
          </w:p>
        </w:tc>
        <w:tc>
          <w:tcPr>
            <w:tcW w:w="420" w:type="dxa"/>
            <w:vAlign w:val="bottom"/>
            <w:gridSpan w:val="4"/>
            <w:shd w:val="clear" w:color="auto" w:fill="CCEEFF"/>
          </w:tcPr>
          <w:p>
            <w:pPr>
              <w:spacing w:after="0"/>
              <w:rPr>
                <w:sz w:val="22"/>
                <w:szCs w:val="22"/>
                <w:color w:val="auto"/>
              </w:rPr>
            </w:pPr>
          </w:p>
        </w:tc>
        <w:tc>
          <w:tcPr>
            <w:tcW w:w="6740" w:type="dxa"/>
            <w:vAlign w:val="bottom"/>
            <w:gridSpan w:val="22"/>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Properties</w:t>
              </w:r>
            </w:hyperlink>
          </w:p>
        </w:tc>
        <w:tc>
          <w:tcPr>
            <w:tcW w:w="400" w:type="dxa"/>
            <w:vAlign w:val="bottom"/>
            <w:gridSpan w:val="5"/>
            <w:shd w:val="clear" w:color="auto" w:fill="CCEEFF"/>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c>
          <w:tcPr>
            <w:tcW w:w="140" w:type="dxa"/>
            <w:vAlign w:val="bottom"/>
            <w:shd w:val="clear" w:color="auto" w:fill="CCEEFF"/>
          </w:tcPr>
          <w:p>
            <w:pPr>
              <w:spacing w:after="0"/>
              <w:rPr>
                <w:sz w:val="22"/>
                <w:szCs w:val="22"/>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520" w:type="dxa"/>
            <w:vAlign w:val="bottom"/>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3.</w:t>
              </w:r>
            </w:hyperlink>
          </w:p>
        </w:tc>
        <w:tc>
          <w:tcPr>
            <w:tcW w:w="420" w:type="dxa"/>
            <w:vAlign w:val="bottom"/>
            <w:gridSpan w:val="4"/>
          </w:tcPr>
          <w:p>
            <w:pPr>
              <w:spacing w:after="0"/>
              <w:rPr>
                <w:sz w:val="22"/>
                <w:szCs w:val="22"/>
                <w:color w:val="auto"/>
              </w:rPr>
            </w:pPr>
          </w:p>
        </w:tc>
        <w:tc>
          <w:tcPr>
            <w:tcW w:w="674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400" w:type="dxa"/>
            <w:vAlign w:val="bottom"/>
            <w:gridSpan w:val="5"/>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c>
          <w:tcPr>
            <w:tcW w:w="140" w:type="dxa"/>
            <w:vAlign w:val="bottom"/>
          </w:tcPr>
          <w:p>
            <w:pPr>
              <w:spacing w:after="0"/>
              <w:rPr>
                <w:sz w:val="22"/>
                <w:szCs w:val="22"/>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520" w:type="dxa"/>
            <w:vAlign w:val="bottom"/>
            <w:shd w:val="clear" w:color="auto" w:fill="CCEEFF"/>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4.</w:t>
              </w:r>
            </w:hyperlink>
          </w:p>
        </w:tc>
        <w:tc>
          <w:tcPr>
            <w:tcW w:w="420" w:type="dxa"/>
            <w:vAlign w:val="bottom"/>
            <w:gridSpan w:val="4"/>
            <w:shd w:val="clear" w:color="auto" w:fill="CCEEFF"/>
          </w:tcPr>
          <w:p>
            <w:pPr>
              <w:spacing w:after="0"/>
              <w:rPr>
                <w:sz w:val="22"/>
                <w:szCs w:val="22"/>
                <w:color w:val="auto"/>
              </w:rPr>
            </w:pPr>
          </w:p>
        </w:tc>
        <w:tc>
          <w:tcPr>
            <w:tcW w:w="6740" w:type="dxa"/>
            <w:vAlign w:val="bottom"/>
            <w:gridSpan w:val="22"/>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400" w:type="dxa"/>
            <w:vAlign w:val="bottom"/>
            <w:gridSpan w:val="5"/>
            <w:shd w:val="clear" w:color="auto" w:fill="CCEEFF"/>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c>
          <w:tcPr>
            <w:tcW w:w="140" w:type="dxa"/>
            <w:vAlign w:val="bottom"/>
            <w:shd w:val="clear" w:color="auto" w:fill="CCEEFF"/>
          </w:tcPr>
          <w:p>
            <w:pPr>
              <w:spacing w:after="0"/>
              <w:rPr>
                <w:sz w:val="22"/>
                <w:szCs w:val="22"/>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405"/>
        </w:trPr>
        <w:tc>
          <w:tcPr>
            <w:tcW w:w="940" w:type="dxa"/>
            <w:vAlign w:val="bottom"/>
            <w:gridSpan w:val="5"/>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520" w:type="dxa"/>
            <w:vAlign w:val="bottom"/>
            <w:tcBorders>
              <w:bottom w:val="single" w:sz="8" w:color="0000EE"/>
            </w:tcBorders>
            <w:shd w:val="clear" w:color="auto" w:fill="CCEEFF"/>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5.</w:t>
              </w:r>
            </w:hyperlink>
          </w:p>
        </w:tc>
        <w:tc>
          <w:tcPr>
            <w:tcW w:w="420" w:type="dxa"/>
            <w:vAlign w:val="bottom"/>
            <w:tcBorders>
              <w:bottom w:val="single" w:sz="8" w:color="CCEEFF"/>
            </w:tcBorders>
            <w:gridSpan w:val="4"/>
            <w:shd w:val="clear" w:color="auto" w:fill="CCEEFF"/>
          </w:tcPr>
          <w:p>
            <w:pPr>
              <w:spacing w:after="0"/>
              <w:rPr>
                <w:sz w:val="21"/>
                <w:szCs w:val="21"/>
                <w:color w:val="auto"/>
              </w:rPr>
            </w:pPr>
          </w:p>
        </w:tc>
        <w:tc>
          <w:tcPr>
            <w:tcW w:w="5840" w:type="dxa"/>
            <w:vAlign w:val="bottom"/>
            <w:tcBorders>
              <w:bottom w:val="single" w:sz="8" w:color="0000EE"/>
            </w:tcBorders>
            <w:gridSpan w:val="19"/>
            <w:shd w:val="clear" w:color="auto" w:fill="CCEEFF"/>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Market for Registrant’s Common Equity, Related Stockholder Matters and Issuer</w:t>
              </w:r>
            </w:hyperlink>
          </w:p>
        </w:tc>
        <w:tc>
          <w:tcPr>
            <w:tcW w:w="900" w:type="dxa"/>
            <w:vAlign w:val="bottom"/>
            <w:tcBorders>
              <w:bottom w:val="single" w:sz="8" w:color="CCEEFF"/>
            </w:tcBorders>
            <w:gridSpan w:val="3"/>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196"/>
        </w:trPr>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0" w:type="dxa"/>
            <w:vAlign w:val="bottom"/>
            <w:gridSpan w:val="11"/>
            <w:shd w:val="clear" w:color="auto" w:fill="CCEEFF"/>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Purchases of Equity Securities</w:t>
              </w:r>
            </w:hyperlink>
          </w:p>
        </w:tc>
        <w:tc>
          <w:tcPr>
            <w:tcW w:w="4540" w:type="dxa"/>
            <w:vAlign w:val="bottom"/>
            <w:gridSpan w:val="11"/>
            <w:shd w:val="clear" w:color="auto" w:fill="CCEEFF"/>
          </w:tcPr>
          <w:p>
            <w:pPr>
              <w:spacing w:after="0"/>
              <w:rPr>
                <w:sz w:val="17"/>
                <w:szCs w:val="17"/>
                <w:color w:val="auto"/>
              </w:rPr>
            </w:pPr>
          </w:p>
        </w:tc>
        <w:tc>
          <w:tcPr>
            <w:tcW w:w="400" w:type="dxa"/>
            <w:vAlign w:val="bottom"/>
            <w:gridSpan w:val="5"/>
            <w:shd w:val="clear" w:color="auto" w:fill="CCEEFF"/>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c>
          <w:tcPr>
            <w:tcW w:w="140" w:type="dxa"/>
            <w:vAlign w:val="bottom"/>
            <w:shd w:val="clear" w:color="auto" w:fill="CCEEFF"/>
          </w:tcPr>
          <w:p>
            <w:pPr>
              <w:spacing w:after="0"/>
              <w:rPr>
                <w:sz w:val="17"/>
                <w:szCs w:val="17"/>
                <w:color w:val="auto"/>
              </w:rPr>
            </w:pPr>
          </w:p>
        </w:tc>
      </w:tr>
      <w:tr>
        <w:trPr>
          <w:trHeight w:val="34"/>
        </w:trPr>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257"/>
        </w:trPr>
        <w:tc>
          <w:tcPr>
            <w:tcW w:w="940" w:type="dxa"/>
            <w:vAlign w:val="bottom"/>
            <w:gridSpan w:val="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6.</w:t>
              </w:r>
            </w:hyperlink>
          </w:p>
        </w:tc>
        <w:tc>
          <w:tcPr>
            <w:tcW w:w="2200" w:type="dxa"/>
            <w:vAlign w:val="bottom"/>
            <w:gridSpan w:val="1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Selected Financial Data</w:t>
              </w:r>
            </w:hyperlink>
          </w:p>
        </w:tc>
        <w:tc>
          <w:tcPr>
            <w:tcW w:w="4540" w:type="dxa"/>
            <w:vAlign w:val="bottom"/>
            <w:gridSpan w:val="11"/>
          </w:tcPr>
          <w:p>
            <w:pPr>
              <w:spacing w:after="0"/>
              <w:rPr>
                <w:sz w:val="22"/>
                <w:szCs w:val="22"/>
                <w:color w:val="auto"/>
              </w:rPr>
            </w:pPr>
          </w:p>
        </w:tc>
        <w:tc>
          <w:tcPr>
            <w:tcW w:w="400" w:type="dxa"/>
            <w:vAlign w:val="bottom"/>
            <w:gridSpan w:val="5"/>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c>
          <w:tcPr>
            <w:tcW w:w="140" w:type="dxa"/>
            <w:vAlign w:val="bottom"/>
          </w:tcPr>
          <w:p>
            <w:pPr>
              <w:spacing w:after="0"/>
              <w:rPr>
                <w:sz w:val="22"/>
                <w:szCs w:val="22"/>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520" w:type="dxa"/>
            <w:vAlign w:val="bottom"/>
            <w:shd w:val="clear" w:color="auto" w:fill="CCEEFF"/>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Item 7.</w:t>
              </w:r>
            </w:hyperlink>
          </w:p>
        </w:tc>
        <w:tc>
          <w:tcPr>
            <w:tcW w:w="420" w:type="dxa"/>
            <w:vAlign w:val="bottom"/>
            <w:gridSpan w:val="4"/>
            <w:shd w:val="clear" w:color="auto" w:fill="CCEEFF"/>
          </w:tcPr>
          <w:p>
            <w:pPr>
              <w:spacing w:after="0"/>
              <w:rPr>
                <w:sz w:val="21"/>
                <w:szCs w:val="21"/>
                <w:color w:val="auto"/>
              </w:rPr>
            </w:pPr>
          </w:p>
        </w:tc>
        <w:tc>
          <w:tcPr>
            <w:tcW w:w="6460" w:type="dxa"/>
            <w:vAlign w:val="bottom"/>
            <w:gridSpan w:val="20"/>
            <w:shd w:val="clear" w:color="auto" w:fill="CCEEFF"/>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Management’s Discussion and Analysis of Financial Condition and Results of Operations</w:t>
              </w:r>
            </w:hyperlink>
          </w:p>
        </w:tc>
        <w:tc>
          <w:tcPr>
            <w:tcW w:w="280" w:type="dxa"/>
            <w:vAlign w:val="bottom"/>
            <w:gridSpan w:val="2"/>
            <w:shd w:val="clear" w:color="auto" w:fill="CCEEFF"/>
          </w:tcPr>
          <w:p>
            <w:pPr>
              <w:spacing w:after="0"/>
              <w:rPr>
                <w:sz w:val="21"/>
                <w:szCs w:val="21"/>
                <w:color w:val="auto"/>
              </w:rPr>
            </w:pPr>
          </w:p>
        </w:tc>
        <w:tc>
          <w:tcPr>
            <w:tcW w:w="400" w:type="dxa"/>
            <w:vAlign w:val="bottom"/>
            <w:gridSpan w:val="5"/>
            <w:shd w:val="clear" w:color="auto" w:fill="CCEEFF"/>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c>
          <w:tcPr>
            <w:tcW w:w="140" w:type="dxa"/>
            <w:vAlign w:val="bottom"/>
            <w:shd w:val="clear" w:color="auto" w:fill="CCEEFF"/>
          </w:tcPr>
          <w:p>
            <w:pPr>
              <w:spacing w:after="0"/>
              <w:rPr>
                <w:sz w:val="21"/>
                <w:szCs w:val="21"/>
                <w:color w:val="auto"/>
              </w:rPr>
            </w:pPr>
          </w:p>
        </w:tc>
      </w:tr>
      <w:tr>
        <w:trPr>
          <w:trHeight w:val="34"/>
        </w:trPr>
        <w:tc>
          <w:tcPr>
            <w:tcW w:w="5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257"/>
        </w:trPr>
        <w:tc>
          <w:tcPr>
            <w:tcW w:w="940" w:type="dxa"/>
            <w:vAlign w:val="bottom"/>
            <w:gridSpan w:val="5"/>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7A.</w:t>
              </w:r>
            </w:hyperlink>
          </w:p>
        </w:tc>
        <w:tc>
          <w:tcPr>
            <w:tcW w:w="6740" w:type="dxa"/>
            <w:vAlign w:val="bottom"/>
            <w:gridSpan w:val="2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400" w:type="dxa"/>
            <w:vAlign w:val="bottom"/>
            <w:gridSpan w:val="5"/>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c>
          <w:tcPr>
            <w:tcW w:w="140" w:type="dxa"/>
            <w:vAlign w:val="bottom"/>
          </w:tcPr>
          <w:p>
            <w:pPr>
              <w:spacing w:after="0"/>
              <w:rPr>
                <w:sz w:val="22"/>
                <w:szCs w:val="22"/>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520" w:type="dxa"/>
            <w:vAlign w:val="bottom"/>
            <w:shd w:val="clear" w:color="auto" w:fill="CCEEFF"/>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Item 8.</w:t>
              </w:r>
            </w:hyperlink>
          </w:p>
        </w:tc>
        <w:tc>
          <w:tcPr>
            <w:tcW w:w="420" w:type="dxa"/>
            <w:vAlign w:val="bottom"/>
            <w:gridSpan w:val="4"/>
            <w:shd w:val="clear" w:color="auto" w:fill="CCEEFF"/>
          </w:tcPr>
          <w:p>
            <w:pPr>
              <w:spacing w:after="0"/>
              <w:rPr>
                <w:sz w:val="22"/>
                <w:szCs w:val="22"/>
                <w:color w:val="auto"/>
              </w:rPr>
            </w:pPr>
          </w:p>
        </w:tc>
        <w:tc>
          <w:tcPr>
            <w:tcW w:w="6740" w:type="dxa"/>
            <w:vAlign w:val="bottom"/>
            <w:gridSpan w:val="22"/>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Financial Statements and Supplementary Data</w:t>
              </w:r>
            </w:hyperlink>
          </w:p>
        </w:tc>
        <w:tc>
          <w:tcPr>
            <w:tcW w:w="400" w:type="dxa"/>
            <w:vAlign w:val="bottom"/>
            <w:gridSpan w:val="5"/>
            <w:shd w:val="clear" w:color="auto" w:fill="CCEEFF"/>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c>
          <w:tcPr>
            <w:tcW w:w="140" w:type="dxa"/>
            <w:vAlign w:val="bottom"/>
            <w:shd w:val="clear" w:color="auto" w:fill="CCEEFF"/>
          </w:tcPr>
          <w:p>
            <w:pPr>
              <w:spacing w:after="0"/>
              <w:rPr>
                <w:sz w:val="22"/>
                <w:szCs w:val="22"/>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520" w:type="dxa"/>
            <w:vAlign w:val="bottom"/>
          </w:tcPr>
          <w:p>
            <w:pPr>
              <w:spacing w:after="0"/>
              <w:rPr>
                <w:rFonts w:ascii="Arial" w:cs="Arial" w:eastAsia="Arial" w:hAnsi="Arial"/>
                <w:sz w:val="18"/>
                <w:szCs w:val="18"/>
                <w:color w:val="0000EE"/>
                <w:w w:val="90"/>
              </w:rPr>
            </w:pPr>
            <w:hyperlink w:anchor="page118">
              <w:r>
                <w:rPr>
                  <w:rFonts w:ascii="Arial" w:cs="Arial" w:eastAsia="Arial" w:hAnsi="Arial"/>
                  <w:sz w:val="18"/>
                  <w:szCs w:val="18"/>
                  <w:color w:val="0000EE"/>
                  <w:w w:val="90"/>
                </w:rPr>
                <w:t>Item 9.</w:t>
              </w:r>
            </w:hyperlink>
          </w:p>
        </w:tc>
        <w:tc>
          <w:tcPr>
            <w:tcW w:w="420" w:type="dxa"/>
            <w:vAlign w:val="bottom"/>
            <w:gridSpan w:val="4"/>
          </w:tcPr>
          <w:p>
            <w:pPr>
              <w:spacing w:after="0"/>
              <w:rPr>
                <w:sz w:val="21"/>
                <w:szCs w:val="21"/>
                <w:color w:val="auto"/>
              </w:rPr>
            </w:pPr>
          </w:p>
        </w:tc>
        <w:tc>
          <w:tcPr>
            <w:tcW w:w="6740" w:type="dxa"/>
            <w:vAlign w:val="bottom"/>
            <w:gridSpan w:val="22"/>
          </w:tcPr>
          <w:p>
            <w:pPr>
              <w:spacing w:after="0"/>
              <w:rPr>
                <w:rFonts w:ascii="Arial" w:cs="Arial" w:eastAsia="Arial" w:hAnsi="Arial"/>
                <w:sz w:val="18"/>
                <w:szCs w:val="18"/>
                <w:color w:val="0000EE"/>
                <w:w w:val="94"/>
              </w:rPr>
            </w:pPr>
            <w:hyperlink w:anchor="page118">
              <w:r>
                <w:rPr>
                  <w:rFonts w:ascii="Arial" w:cs="Arial" w:eastAsia="Arial" w:hAnsi="Arial"/>
                  <w:sz w:val="18"/>
                  <w:szCs w:val="18"/>
                  <w:color w:val="0000EE"/>
                  <w:w w:val="94"/>
                </w:rPr>
                <w:t>Changes in and Disagreements with Accountants on Accounting and Financial Disclosure</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18">
              <w:r>
                <w:rPr>
                  <w:rFonts w:ascii="Arial" w:cs="Arial" w:eastAsia="Arial" w:hAnsi="Arial"/>
                  <w:sz w:val="18"/>
                  <w:szCs w:val="18"/>
                  <w:color w:val="0000EE"/>
                </w:rPr>
                <w:t>117</w:t>
              </w:r>
            </w:hyperlink>
          </w:p>
        </w:tc>
      </w:tr>
      <w:tr>
        <w:trPr>
          <w:trHeight w:val="34"/>
        </w:trPr>
        <w:tc>
          <w:tcPr>
            <w:tcW w:w="5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940" w:type="dxa"/>
            <w:vAlign w:val="bottom"/>
            <w:gridSpan w:val="5"/>
            <w:shd w:val="clear" w:color="auto" w:fill="CCEEFF"/>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Item 9A.</w:t>
              </w:r>
            </w:hyperlink>
          </w:p>
        </w:tc>
        <w:tc>
          <w:tcPr>
            <w:tcW w:w="6740" w:type="dxa"/>
            <w:vAlign w:val="bottom"/>
            <w:gridSpan w:val="22"/>
            <w:shd w:val="clear" w:color="auto" w:fill="CCEEFF"/>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Controls and Procedures</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18">
              <w:r>
                <w:rPr>
                  <w:rFonts w:ascii="Arial" w:cs="Arial" w:eastAsia="Arial" w:hAnsi="Arial"/>
                  <w:sz w:val="18"/>
                  <w:szCs w:val="18"/>
                  <w:color w:val="0000EE"/>
                </w:rPr>
                <w:t>117</w:t>
              </w:r>
            </w:hyperlink>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640" w:type="dxa"/>
            <w:vAlign w:val="bottom"/>
            <w:gridSpan w:val="3"/>
          </w:tcPr>
          <w:p>
            <w:pPr>
              <w:spacing w:after="0"/>
              <w:rPr>
                <w:rFonts w:ascii="Arial" w:cs="Arial" w:eastAsia="Arial" w:hAnsi="Arial"/>
                <w:sz w:val="18"/>
                <w:szCs w:val="18"/>
                <w:color w:val="0000EE"/>
                <w:w w:val="92"/>
              </w:rPr>
            </w:pPr>
            <w:hyperlink w:anchor="page118">
              <w:r>
                <w:rPr>
                  <w:rFonts w:ascii="Arial" w:cs="Arial" w:eastAsia="Arial" w:hAnsi="Arial"/>
                  <w:sz w:val="18"/>
                  <w:szCs w:val="18"/>
                  <w:color w:val="0000EE"/>
                  <w:w w:val="92"/>
                </w:rPr>
                <w:t>Item 9B.</w:t>
              </w:r>
            </w:hyperlink>
          </w:p>
        </w:tc>
        <w:tc>
          <w:tcPr>
            <w:tcW w:w="300" w:type="dxa"/>
            <w:vAlign w:val="bottom"/>
            <w:gridSpan w:val="2"/>
          </w:tcPr>
          <w:p>
            <w:pPr>
              <w:spacing w:after="0"/>
              <w:rPr>
                <w:sz w:val="22"/>
                <w:szCs w:val="22"/>
                <w:color w:val="auto"/>
              </w:rPr>
            </w:pPr>
          </w:p>
        </w:tc>
        <w:tc>
          <w:tcPr>
            <w:tcW w:w="1760" w:type="dxa"/>
            <w:vAlign w:val="bottom"/>
            <w:gridSpan w:val="8"/>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Other Information</w:t>
              </w:r>
            </w:hyperlink>
          </w:p>
        </w:tc>
        <w:tc>
          <w:tcPr>
            <w:tcW w:w="4980" w:type="dxa"/>
            <w:vAlign w:val="bottom"/>
            <w:gridSpan w:val="14"/>
          </w:tcPr>
          <w:p>
            <w:pPr>
              <w:spacing w:after="0"/>
              <w:rPr>
                <w:sz w:val="22"/>
                <w:szCs w:val="22"/>
                <w:color w:val="auto"/>
              </w:rPr>
            </w:pPr>
          </w:p>
        </w:tc>
        <w:tc>
          <w:tcPr>
            <w:tcW w:w="540" w:type="dxa"/>
            <w:vAlign w:val="bottom"/>
            <w:gridSpan w:val="6"/>
          </w:tcPr>
          <w:p>
            <w:pPr>
              <w:jc w:val="right"/>
              <w:ind w:right="140"/>
              <w:spacing w:after="0"/>
              <w:rPr>
                <w:rFonts w:ascii="Arial" w:cs="Arial" w:eastAsia="Arial" w:hAnsi="Arial"/>
                <w:sz w:val="18"/>
                <w:szCs w:val="18"/>
                <w:color w:val="0000EE"/>
              </w:rPr>
            </w:pPr>
            <w:hyperlink w:anchor="page118">
              <w:r>
                <w:rPr>
                  <w:rFonts w:ascii="Arial" w:cs="Arial" w:eastAsia="Arial" w:hAnsi="Arial"/>
                  <w:sz w:val="18"/>
                  <w:szCs w:val="18"/>
                  <w:color w:val="0000EE"/>
                </w:rPr>
                <w:t>117</w:t>
              </w:r>
            </w:hyperlink>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8"/>
        </w:trPr>
        <w:tc>
          <w:tcPr>
            <w:tcW w:w="9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70"/>
        </w:trPr>
        <w:tc>
          <w:tcPr>
            <w:tcW w:w="940" w:type="dxa"/>
            <w:vAlign w:val="bottom"/>
            <w:gridSpan w:val="5"/>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Item 10.</w:t>
              </w:r>
            </w:hyperlink>
          </w:p>
        </w:tc>
        <w:tc>
          <w:tcPr>
            <w:tcW w:w="6740" w:type="dxa"/>
            <w:vAlign w:val="bottom"/>
            <w:gridSpan w:val="22"/>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Directors, Executive Officers and Corporate Governance</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19">
              <w:r>
                <w:rPr>
                  <w:rFonts w:ascii="Arial" w:cs="Arial" w:eastAsia="Arial" w:hAnsi="Arial"/>
                  <w:sz w:val="18"/>
                  <w:szCs w:val="18"/>
                  <w:color w:val="0000EE"/>
                </w:rPr>
                <w:t>118</w:t>
              </w:r>
            </w:hyperlink>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0"/>
        </w:trPr>
        <w:tc>
          <w:tcPr>
            <w:tcW w:w="600" w:type="dxa"/>
            <w:vAlign w:val="bottom"/>
            <w:gridSpan w:val="2"/>
            <w:shd w:val="clear" w:color="auto" w:fill="CCEEFF"/>
          </w:tcPr>
          <w:p>
            <w:pPr>
              <w:spacing w:after="0"/>
              <w:rPr>
                <w:rFonts w:ascii="Arial" w:cs="Arial" w:eastAsia="Arial" w:hAnsi="Arial"/>
                <w:sz w:val="18"/>
                <w:szCs w:val="18"/>
                <w:color w:val="0000EE"/>
                <w:w w:val="89"/>
              </w:rPr>
            </w:pPr>
            <w:hyperlink w:anchor="page119">
              <w:r>
                <w:rPr>
                  <w:rFonts w:ascii="Arial" w:cs="Arial" w:eastAsia="Arial" w:hAnsi="Arial"/>
                  <w:sz w:val="18"/>
                  <w:szCs w:val="18"/>
                  <w:color w:val="0000EE"/>
                  <w:w w:val="89"/>
                </w:rPr>
                <w:t>Item 11.</w:t>
              </w:r>
            </w:hyperlink>
          </w:p>
        </w:tc>
        <w:tc>
          <w:tcPr>
            <w:tcW w:w="340" w:type="dxa"/>
            <w:vAlign w:val="bottom"/>
            <w:gridSpan w:val="3"/>
            <w:shd w:val="clear" w:color="auto" w:fill="CCEEFF"/>
          </w:tcPr>
          <w:p>
            <w:pPr>
              <w:spacing w:after="0"/>
              <w:rPr>
                <w:sz w:val="23"/>
                <w:szCs w:val="23"/>
                <w:color w:val="auto"/>
              </w:rPr>
            </w:pPr>
          </w:p>
        </w:tc>
        <w:tc>
          <w:tcPr>
            <w:tcW w:w="6740" w:type="dxa"/>
            <w:vAlign w:val="bottom"/>
            <w:gridSpan w:val="22"/>
            <w:shd w:val="clear" w:color="auto" w:fill="CCEEFF"/>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Executive Compensation</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19">
              <w:r>
                <w:rPr>
                  <w:rFonts w:ascii="Arial" w:cs="Arial" w:eastAsia="Arial" w:hAnsi="Arial"/>
                  <w:sz w:val="18"/>
                  <w:szCs w:val="18"/>
                  <w:color w:val="0000EE"/>
                </w:rPr>
                <w:t>118</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56"/>
        </w:trPr>
        <w:tc>
          <w:tcPr>
            <w:tcW w:w="940" w:type="dxa"/>
            <w:vAlign w:val="bottom"/>
            <w:gridSpan w:val="5"/>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Item 12.</w:t>
              </w:r>
            </w:hyperlink>
          </w:p>
        </w:tc>
        <w:tc>
          <w:tcPr>
            <w:tcW w:w="6740" w:type="dxa"/>
            <w:vAlign w:val="bottom"/>
            <w:gridSpan w:val="22"/>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Security Ownership of Certain Beneficial Owners and Management and Related</w:t>
              </w:r>
            </w:hyperlink>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Stockholder Matters</w:t>
              </w:r>
            </w:hyperlink>
          </w:p>
        </w:tc>
        <w:tc>
          <w:tcPr>
            <w:tcW w:w="960" w:type="dxa"/>
            <w:vAlign w:val="bottom"/>
            <w:gridSpan w:val="4"/>
          </w:tcPr>
          <w:p>
            <w:pPr>
              <w:spacing w:after="0"/>
              <w:rPr>
                <w:sz w:val="17"/>
                <w:szCs w:val="17"/>
                <w:color w:val="auto"/>
              </w:rPr>
            </w:pPr>
          </w:p>
        </w:tc>
        <w:tc>
          <w:tcPr>
            <w:tcW w:w="540" w:type="dxa"/>
            <w:vAlign w:val="bottom"/>
            <w:gridSpan w:val="6"/>
          </w:tcPr>
          <w:p>
            <w:pPr>
              <w:jc w:val="right"/>
              <w:ind w:right="140"/>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118</w:t>
              </w:r>
            </w:hyperlink>
          </w:p>
        </w:tc>
      </w:tr>
      <w:tr>
        <w:trPr>
          <w:trHeight w:val="34"/>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70"/>
        </w:trPr>
        <w:tc>
          <w:tcPr>
            <w:tcW w:w="940" w:type="dxa"/>
            <w:vAlign w:val="bottom"/>
            <w:gridSpan w:val="5"/>
            <w:shd w:val="clear" w:color="auto" w:fill="CCEEFF"/>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Item 13.</w:t>
              </w:r>
            </w:hyperlink>
          </w:p>
        </w:tc>
        <w:tc>
          <w:tcPr>
            <w:tcW w:w="6740" w:type="dxa"/>
            <w:vAlign w:val="bottom"/>
            <w:gridSpan w:val="22"/>
            <w:shd w:val="clear" w:color="auto" w:fill="CCEEFF"/>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Certain Relationships and Related Transactions, and Director Independence</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19">
              <w:r>
                <w:rPr>
                  <w:rFonts w:ascii="Arial" w:cs="Arial" w:eastAsia="Arial" w:hAnsi="Arial"/>
                  <w:sz w:val="18"/>
                  <w:szCs w:val="18"/>
                  <w:color w:val="0000EE"/>
                </w:rPr>
                <w:t>118</w:t>
              </w:r>
            </w:hyperlink>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70"/>
        </w:trPr>
        <w:tc>
          <w:tcPr>
            <w:tcW w:w="940" w:type="dxa"/>
            <w:vAlign w:val="bottom"/>
            <w:gridSpan w:val="5"/>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Item 14.</w:t>
              </w:r>
            </w:hyperlink>
          </w:p>
        </w:tc>
        <w:tc>
          <w:tcPr>
            <w:tcW w:w="6740" w:type="dxa"/>
            <w:vAlign w:val="bottom"/>
            <w:gridSpan w:val="22"/>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Principal Accounting Fees and Services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19">
              <w:r>
                <w:rPr>
                  <w:rFonts w:ascii="Arial" w:cs="Arial" w:eastAsia="Arial" w:hAnsi="Arial"/>
                  <w:sz w:val="18"/>
                  <w:szCs w:val="18"/>
                  <w:color w:val="0000EE"/>
                </w:rPr>
                <w:t>118</w:t>
              </w:r>
            </w:hyperlink>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9"/>
        </w:trPr>
        <w:tc>
          <w:tcPr>
            <w:tcW w:w="9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70"/>
        </w:trPr>
        <w:tc>
          <w:tcPr>
            <w:tcW w:w="940" w:type="dxa"/>
            <w:vAlign w:val="bottom"/>
            <w:gridSpan w:val="5"/>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Item 15.</w:t>
              </w:r>
            </w:hyperlink>
          </w:p>
        </w:tc>
        <w:tc>
          <w:tcPr>
            <w:tcW w:w="6740" w:type="dxa"/>
            <w:vAlign w:val="bottom"/>
            <w:gridSpan w:val="22"/>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Exhibits and Financial Statement Schedules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20">
              <w:r>
                <w:rPr>
                  <w:rFonts w:ascii="Arial" w:cs="Arial" w:eastAsia="Arial" w:hAnsi="Arial"/>
                  <w:sz w:val="18"/>
                  <w:szCs w:val="18"/>
                  <w:color w:val="0000EE"/>
                </w:rPr>
                <w:t>119</w:t>
              </w:r>
            </w:hyperlink>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0"/>
        </w:trPr>
        <w:tc>
          <w:tcPr>
            <w:tcW w:w="940" w:type="dxa"/>
            <w:vAlign w:val="bottom"/>
            <w:gridSpan w:val="5"/>
            <w:shd w:val="clear" w:color="auto" w:fill="CCEEFF"/>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Signatures</w:t>
              </w:r>
            </w:hyperlink>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22">
              <w:r>
                <w:rPr>
                  <w:rFonts w:ascii="Arial" w:cs="Arial" w:eastAsia="Arial" w:hAnsi="Arial"/>
                  <w:sz w:val="18"/>
                  <w:szCs w:val="18"/>
                  <w:color w:val="0000EE"/>
                </w:rPr>
                <w:t>121</w:t>
              </w:r>
            </w:hyperlink>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-5280025</wp:posOffset>
            </wp:positionV>
            <wp:extent cx="48691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Runway Growth Credit Fund Inc.</w:t>
      </w:r>
    </w:p>
    <w:p>
      <w:pPr>
        <w:spacing w:after="0" w:line="148" w:lineRule="exact"/>
        <w:rPr>
          <w:sz w:val="20"/>
          <w:szCs w:val="20"/>
          <w:color w:val="auto"/>
        </w:rPr>
      </w:pPr>
    </w:p>
    <w:p>
      <w:pPr>
        <w:jc w:val="both"/>
        <w:ind w:left="1260" w:right="659" w:firstLine="360"/>
        <w:spacing w:after="0" w:line="271" w:lineRule="auto"/>
        <w:rPr>
          <w:sz w:val="20"/>
          <w:szCs w:val="20"/>
          <w:color w:val="auto"/>
        </w:rPr>
      </w:pPr>
      <w:r>
        <w:rPr>
          <w:rFonts w:ascii="Arial" w:cs="Arial" w:eastAsia="Arial" w:hAnsi="Arial"/>
          <w:sz w:val="16"/>
          <w:szCs w:val="16"/>
          <w:color w:val="auto"/>
        </w:rPr>
        <w:t>Runway Growth Credit Fund Inc., formerly known as GSV Growth Credit Fund Inc., a Maryland corporation formed on August 31, 2015 (“we,” “us,” “our,” or the “Company”), is structured as an externally managed, non-diversified closed-end management investment company. We are a specialty finance company focused on providing senior secured loans to rapidly growing companies in a variety of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appreciation on our warrants and other equity positions. Our offices are in Chicago, Illinois; Woodside, California; and New York, New York.</w:t>
      </w:r>
    </w:p>
    <w:p>
      <w:pPr>
        <w:spacing w:after="0" w:line="101" w:lineRule="exact"/>
        <w:rPr>
          <w:sz w:val="20"/>
          <w:szCs w:val="20"/>
          <w:color w:val="auto"/>
        </w:rPr>
      </w:pPr>
    </w:p>
    <w:p>
      <w:pPr>
        <w:jc w:val="both"/>
        <w:ind w:left="1260" w:right="679" w:firstLine="360"/>
        <w:spacing w:after="0" w:line="252" w:lineRule="auto"/>
        <w:rPr>
          <w:sz w:val="20"/>
          <w:szCs w:val="20"/>
          <w:color w:val="auto"/>
        </w:rPr>
      </w:pPr>
      <w:r>
        <w:rPr>
          <w:rFonts w:ascii="Arial" w:cs="Arial" w:eastAsia="Arial" w:hAnsi="Arial"/>
          <w:sz w:val="17"/>
          <w:szCs w:val="17"/>
          <w:color w:val="auto"/>
        </w:rPr>
        <w:t>We have elected to be regulated as a business development company (“BDC”) under the Investment Company Act of 1940, as amended (together with the rules and regulations promulgated thereunder, the “1940 Act”). We have also elected to be treated as regulated investment company (“RIC”) under Subchapter M of the Internal Revenue Code of 1986, as amended (the “Code”), have qualified, and intend to continue to qualify for treatment as a RIC annually. While we intend to qualify to be treated as a RIC annually, no assurance can be provided that we will be able to maintain our tax treatment as a RIC. For example, we anticipate that we may have difficulty satisfying the asset diversification requirements as we deploy initial capital and build our portfolio. If we fail to qualify for tax treatment as a RIC for any taxable year, we will be subject to corporate-level U.S. federal income tax on any net taxable income for such year. See “— Material U.S. Federal Income Tax Considerations” and “Note 2 — Summary of Significant Accounting Policies” to our financial statements in Part II, Item 8 of this Form 10-K for more information.</w:t>
      </w:r>
    </w:p>
    <w:p>
      <w:pPr>
        <w:spacing w:after="0" w:line="118" w:lineRule="exact"/>
        <w:rPr>
          <w:sz w:val="20"/>
          <w:szCs w:val="20"/>
          <w:color w:val="auto"/>
        </w:rPr>
      </w:pPr>
    </w:p>
    <w:p>
      <w:pPr>
        <w:jc w:val="both"/>
        <w:ind w:left="1260" w:right="679" w:firstLine="360"/>
        <w:spacing w:after="0" w:line="287" w:lineRule="auto"/>
        <w:rPr>
          <w:sz w:val="20"/>
          <w:szCs w:val="20"/>
          <w:color w:val="auto"/>
        </w:rPr>
      </w:pPr>
      <w:r>
        <w:rPr>
          <w:rFonts w:ascii="Arial" w:cs="Arial" w:eastAsia="Arial" w:hAnsi="Arial"/>
          <w:sz w:val="16"/>
          <w:szCs w:val="16"/>
          <w:color w:val="auto"/>
        </w:rPr>
        <w:t>From the commencement of investment operations on December 16, 2016, through December 31, 2019, we funded 30 portfolio companies and invested $470.6 million in debt and equity investments, excluding U.S. Treasury Bills. As of December 31, 2019, our debt investment portfolio consisted of 36 debt investments in 21 portfolio companies with an aggregate fair value of $349.6 million while our equity portfolio consisted of 36 warrant positions and one preferred stock position in 25 portfolio companies with an aggregate fair value of $18.0 million. As of December 31, 2019, 100%, or $349.6 million, of our debt investment portfolio at fair value consisted of senior term loans. As of December 31, 2019, our net assets were $376.3 million, and all of our debt investments were secured by all or a portion of the tangible and intangible assets of the applicable portfolio company. The debt investments in our portfolio are generally not rated by any rating agency. If the individual debt investments in our portfolio were rated, they would be rated below “investment grade.” Debt investments that are unrated or rated below investment grade are sometimes referred to as “junk bonds” and have predominantly speculative characteristics with respect to the issuer’s capacity to pay interest and repay principal.</w:t>
      </w:r>
    </w:p>
    <w:p>
      <w:pPr>
        <w:spacing w:after="0" w:line="87" w:lineRule="exact"/>
        <w:rPr>
          <w:sz w:val="20"/>
          <w:szCs w:val="20"/>
          <w:color w:val="auto"/>
        </w:rPr>
      </w:pPr>
    </w:p>
    <w:p>
      <w:pPr>
        <w:jc w:val="both"/>
        <w:ind w:left="1260" w:right="679" w:firstLine="360"/>
        <w:spacing w:after="0" w:line="268" w:lineRule="auto"/>
        <w:rPr>
          <w:sz w:val="20"/>
          <w:szCs w:val="20"/>
          <w:color w:val="auto"/>
        </w:rPr>
      </w:pPr>
      <w:r>
        <w:rPr>
          <w:rFonts w:ascii="Arial" w:cs="Arial" w:eastAsia="Arial" w:hAnsi="Arial"/>
          <w:sz w:val="17"/>
          <w:szCs w:val="17"/>
          <w:color w:val="auto"/>
        </w:rPr>
        <w:t>For the year ended December 31, 2019, our debt investment portfolio had a dollar-weighted yield of 15.4% (excluding any yield from warrants). The warrants we receive from time to time when making loans to portfolio companies are excluded from the calculation of our dollar-weighted annualized yield because such warrants do not generate any yield since we do not receive dividends or other payments with respect to our outstanding warrants. We calculate the yield on dollar-weighted average debt investments for any period measured as (1) total investment income during the period divided by (2) the average of the fair value of debt investments outstanding on (a) the last day of the calendar month immediately preceding the first day of the period and (b) the last day of each calendar month during the period. The dollar-weighted annualized yield represents the portfolio yield and will be higher than what investors will realize because it does not reflect our expenses or any sales load paid by investors. As of December 31, 2019, our debt investments had a dollar-weighted average outstanding term of 12 months and a dollar-weighted average remaining term of 32 months. As of December 31, 2019, substantially all of our debt investments had an original committed principal amount of between $6 million and $40 million, repayment terms of between 30 months and 60 months and pay cash interest at annual interest rates of between 8.25% and 13%.</w:t>
      </w:r>
    </w:p>
    <w:p>
      <w:pPr>
        <w:spacing w:after="0" w:line="37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6"/>
          <w:szCs w:val="16"/>
          <w:color w:val="auto"/>
        </w:rPr>
        <w:t>In December 2016, we completed the initial closing of capital commitments (the “Initial Closing”) in our first private offering of shares of common stock to investors (the “Initial Private Offering”) in reliance on exemptions from the registration requirements of the Securities Act of 1933, as amended (together with the rules and regulations promulgated thereunder, the “Securities Act”), and other applicable securities laws. The final closing of the Initial Private Offering occurred on December 1, 2017. As of December 31, 2019, in connection with the Initial Private Offering, we had total capital commitments of $275,000,000 and had issued 18,241,157 shares of our common stock to stockholders for a total purchase price of $275,000,000. As of December 31, 2019, we had completed multiple closings under its second private offering (the “Second Private Offering”) and had accepted capital commitments of $174,423,500. As of December 31, 2019, in connection with the Second Private Offering, we have issued an aggregate of 5,000,000 shares for a total purchase price of $75,000,000. We expect to operate as a “private” BDC while we invest the proceeds of our private offerings and any future private offerings of our securities, after which, if market conditions are favorable, we plan to give our stockholders the opportunity to elect to participate in a Spin-Off transaction or seek other liquidity options for our stockholders, as further discussed in “— Investor Optionality; Potential Spin-Offs”.</w:t>
      </w:r>
    </w:p>
    <w:p>
      <w:pPr>
        <w:spacing w:after="0" w:line="90" w:lineRule="exact"/>
        <w:rPr>
          <w:sz w:val="20"/>
          <w:szCs w:val="20"/>
          <w:color w:val="auto"/>
        </w:rPr>
      </w:pPr>
    </w:p>
    <w:p>
      <w:pPr>
        <w:jc w:val="both"/>
        <w:ind w:left="1260" w:right="679" w:firstLine="360"/>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as amended (the “JOBS Act”). We could remain an emerging growth company until the last day of our fiscal year following the fifth anniversary of an initial public offering (“IPO”), if any, or until the earliest of (i) the last day of the first fiscal year in which we have total annual gross revenue of $1,070,000,000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04"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We are externally managed by Runway Growth Capital LLC (“RGC”), an investment adviser that has registered with the SEC under the Investment Advisers Act of 1940, as amended. Runway Administrator Services LLC (the “Administrator”), a wholly-owned subsidiary of RGC, provides all administrative services necessary for us to operate.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About RGC</w:t>
      </w:r>
    </w:p>
    <w:p>
      <w:pPr>
        <w:spacing w:after="0" w:line="162" w:lineRule="exact"/>
        <w:rPr>
          <w:sz w:val="20"/>
          <w:szCs w:val="20"/>
          <w:color w:val="auto"/>
        </w:rPr>
      </w:pPr>
    </w:p>
    <w:p>
      <w:pPr>
        <w:jc w:val="both"/>
        <w:ind w:left="1260" w:right="679" w:firstLine="360"/>
        <w:spacing w:after="0" w:line="255" w:lineRule="auto"/>
        <w:rPr>
          <w:sz w:val="20"/>
          <w:szCs w:val="20"/>
          <w:color w:val="auto"/>
        </w:rPr>
      </w:pPr>
      <w:r>
        <w:rPr>
          <w:rFonts w:ascii="Arial" w:cs="Arial" w:eastAsia="Arial" w:hAnsi="Arial"/>
          <w:sz w:val="18"/>
          <w:szCs w:val="18"/>
          <w:color w:val="auto"/>
        </w:rPr>
        <w:t>RGC serves as our investment adviser and, subject to the overall supervision of our Board of Directors, manages our day-to-day operations and provides us with investment advisory services pursuant to an investment advisory agreement, as amended and restated (the “Amended Advisory Agreement”). RGC is an investment adviser that has registered under the Investment Advisers Act of 1940, as amended (together with the rules and regulations promulgated thereunder, the “Advisers Act”). Under the terms of the Amended Advisory Agreement, RGC:</w:t>
      </w:r>
    </w:p>
    <w:p>
      <w:pPr>
        <w:spacing w:after="0" w:line="84" w:lineRule="exact"/>
        <w:rPr>
          <w:sz w:val="20"/>
          <w:szCs w:val="20"/>
          <w:color w:val="auto"/>
        </w:rPr>
      </w:pPr>
    </w:p>
    <w:p>
      <w:pPr>
        <w:ind w:left="1800" w:right="679" w:hanging="178"/>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the portfolio and the manner of implementing such changes;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executes, closes and monitors the investments we make;</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determines the securities and other assets that we will purchase, retain or sell;</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117"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provides us with other such investment advisory, research and related services as we may, from time to time, reasonably require for the investment of our funds.</w:t>
      </w:r>
    </w:p>
    <w:p>
      <w:pPr>
        <w:spacing w:after="0" w:line="103"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7"/>
          <w:szCs w:val="17"/>
          <w:color w:val="auto"/>
        </w:rPr>
        <w:t>Pursuant to the Amended Advisory Agreement, we pay RGC a fee for its investment advisory and management services consisting of two components: a base management fee and an incentive fee. The cost of both the base management fee and incentive fee are ultimately borne by our stockholders. See</w:t>
      </w:r>
    </w:p>
    <w:p>
      <w:pPr>
        <w:spacing w:after="0" w:line="34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91" w:lineRule="auto"/>
        <w:rPr>
          <w:sz w:val="20"/>
          <w:szCs w:val="20"/>
          <w:color w:val="auto"/>
        </w:rPr>
      </w:pPr>
      <w:r>
        <w:rPr>
          <w:rFonts w:ascii="Arial" w:cs="Arial" w:eastAsia="Arial" w:hAnsi="Arial"/>
          <w:sz w:val="17"/>
          <w:szCs w:val="17"/>
          <w:color w:val="auto"/>
        </w:rPr>
        <w:t>“Note 7 — Related Party Agreements and Transactions” to our financial statements in Part II, Item 8 of this Form 10-K for more information on the Amended Advisory Agreement and the fee structure thereunder.</w:t>
      </w:r>
    </w:p>
    <w:p>
      <w:pPr>
        <w:spacing w:after="0" w:line="14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Payment of Our Expenses</w:t>
      </w:r>
    </w:p>
    <w:p>
      <w:pPr>
        <w:spacing w:after="0" w:line="144" w:lineRule="exact"/>
        <w:rPr>
          <w:sz w:val="20"/>
          <w:szCs w:val="20"/>
          <w:color w:val="auto"/>
        </w:rPr>
      </w:pPr>
    </w:p>
    <w:p>
      <w:pPr>
        <w:jc w:val="both"/>
        <w:ind w:left="1260" w:right="679" w:firstLine="360"/>
        <w:spacing w:after="0" w:line="262" w:lineRule="auto"/>
        <w:rPr>
          <w:sz w:val="20"/>
          <w:szCs w:val="20"/>
          <w:color w:val="auto"/>
        </w:rPr>
      </w:pPr>
      <w:r>
        <w:rPr>
          <w:rFonts w:ascii="Arial" w:cs="Arial" w:eastAsia="Arial" w:hAnsi="Arial"/>
          <w:sz w:val="17"/>
          <w:szCs w:val="17"/>
          <w:color w:val="auto"/>
        </w:rPr>
        <w:t>All professionals of RGC, when and to the extent engaged in providing investment advisory and management services to us, and the compensation and routine overhead expenses of personnel allocable to these services to us, are provided and paid for by RGC and not by us. We bear all other out-of-pocket costs and expenses of our operations and transactions, including, without limitation, those relating to:</w:t>
      </w:r>
    </w:p>
    <w:p>
      <w:pPr>
        <w:spacing w:after="0" w:line="64" w:lineRule="exact"/>
        <w:rPr>
          <w:sz w:val="20"/>
          <w:szCs w:val="20"/>
          <w:color w:val="auto"/>
        </w:rPr>
      </w:pPr>
    </w:p>
    <w:p>
      <w:pPr>
        <w:ind w:left="1800" w:hanging="178"/>
        <w:spacing w:after="0"/>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calculating our net asset value (including the cost and expenses of any independent valuation firm);</w:t>
      </w:r>
    </w:p>
    <w:p>
      <w:pPr>
        <w:spacing w:after="0" w:line="128" w:lineRule="exact"/>
        <w:rPr>
          <w:rFonts w:ascii="Arial" w:cs="Arial" w:eastAsia="Arial" w:hAnsi="Arial"/>
          <w:sz w:val="17"/>
          <w:szCs w:val="17"/>
          <w:color w:val="auto"/>
        </w:rPr>
      </w:pPr>
    </w:p>
    <w:p>
      <w:pPr>
        <w:jc w:val="both"/>
        <w:ind w:left="1800" w:right="679" w:hanging="178"/>
        <w:spacing w:after="0" w:line="259"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65"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17"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 with the Administrator (the “Administration Agreement”);</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03"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the Financial Industry Regulatory Authority or other regulators;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costs;</w:t>
      </w:r>
    </w:p>
    <w:p>
      <w:pPr>
        <w:spacing w:after="0" w:line="117"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 errors and omissions liability insurance, and any other insurance premiums;</w:t>
      </w:r>
    </w:p>
    <w:p>
      <w:pPr>
        <w:spacing w:after="0" w:line="62"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w:t>
      </w:r>
    </w:p>
    <w:p>
      <w:pPr>
        <w:spacing w:after="0" w:line="48" w:lineRule="exact"/>
        <w:rPr>
          <w:rFonts w:ascii="Arial" w:cs="Arial" w:eastAsia="Arial" w:hAnsi="Arial"/>
          <w:sz w:val="18"/>
          <w:szCs w:val="18"/>
          <w:color w:val="auto"/>
        </w:rPr>
      </w:pPr>
    </w:p>
    <w:p>
      <w:pPr>
        <w:jc w:val="both"/>
        <w:ind w:left="1800" w:right="679" w:hanging="178"/>
        <w:spacing w:after="0" w:line="25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79"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organization and offering (the amount of organizational and offering expenses in connection with the Initial Private Offering in excess of $1,000,000 were previously paid by RGC); and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pro-rata portion of fees and expenses related to any future spin-off transaction.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Investment Committee</w:t>
      </w:r>
    </w:p>
    <w:p>
      <w:pPr>
        <w:spacing w:after="0" w:line="144" w:lineRule="exact"/>
        <w:rPr>
          <w:sz w:val="20"/>
          <w:szCs w:val="20"/>
          <w:color w:val="auto"/>
        </w:rPr>
      </w:pPr>
    </w:p>
    <w:p>
      <w:pPr>
        <w:jc w:val="both"/>
        <w:ind w:left="1260" w:right="679" w:firstLine="360"/>
        <w:spacing w:after="0" w:line="257" w:lineRule="auto"/>
        <w:rPr>
          <w:sz w:val="20"/>
          <w:szCs w:val="20"/>
          <w:color w:val="auto"/>
        </w:rPr>
      </w:pPr>
      <w:r>
        <w:rPr>
          <w:rFonts w:ascii="Arial" w:cs="Arial" w:eastAsia="Arial" w:hAnsi="Arial"/>
          <w:sz w:val="17"/>
          <w:szCs w:val="17"/>
          <w:color w:val="auto"/>
        </w:rPr>
        <w:t>RGC’s investment committee (the “Investment Committee”) consists of R. David Spreng, who is its chairman and our President, Chief Executive Officer and Chairman of our Board of Directors, Thomas B. Raterman, our Chief Financial Officer, Treasurer and Secretary, Greg Greifeld, Managing Director and Head of Credit at RGC, and Brian Laibow, OCM Growth Holdings, LLC’s appointee. The Investment Committee meets regularly to consider our investments, review our strategic initiatives and supervise the actions taken by RGC on our behalf. In addition, the Investment Committee reviews and monitors the performance of our</w:t>
      </w:r>
    </w:p>
    <w:p>
      <w:pPr>
        <w:sectPr>
          <w:pgSz w:w="11900" w:h="16838" w:orient="portrait"/>
          <w:cols w:equalWidth="0" w:num="1">
            <w:col w:w="10139"/>
          </w:cols>
          <w:pgMar w:left="320" w:top="132" w:right="1440" w:bottom="1440" w:gutter="0" w:footer="0" w:header="0"/>
        </w:sectPr>
      </w:pPr>
    </w:p>
    <w:p>
      <w:pPr>
        <w:spacing w:after="0" w:line="364"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41" w:lineRule="auto"/>
        <w:rPr>
          <w:sz w:val="20"/>
          <w:szCs w:val="20"/>
          <w:color w:val="auto"/>
        </w:rPr>
      </w:pPr>
      <w:r>
        <w:rPr>
          <w:rFonts w:ascii="Arial" w:cs="Arial" w:eastAsia="Arial" w:hAnsi="Arial"/>
          <w:sz w:val="18"/>
          <w:szCs w:val="18"/>
          <w:color w:val="auto"/>
        </w:rPr>
        <w:t>investment portfolio. Each investment must be approved by a majority of the Investment Committee. In addition, Mr. Spreng, as chairman of the Investment Committee, has the right to veto the approval of any investment, and any investment by us that is outside of certain agreed upon investment criteria requires the affirmative vote of OCM Growth Holdings, LLC’s appointee to the Investment Committee. See “— Oaktree Strategic Relationship” below for more information.</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Board Approval of the Amended Advisory Agreement</w:t>
      </w:r>
    </w:p>
    <w:p>
      <w:pPr>
        <w:spacing w:after="0" w:line="144" w:lineRule="exact"/>
        <w:rPr>
          <w:sz w:val="20"/>
          <w:szCs w:val="20"/>
          <w:color w:val="auto"/>
        </w:rPr>
      </w:pPr>
    </w:p>
    <w:p>
      <w:pPr>
        <w:jc w:val="both"/>
        <w:ind w:left="1260" w:right="679" w:firstLine="360"/>
        <w:spacing w:after="0" w:line="291" w:lineRule="auto"/>
        <w:rPr>
          <w:sz w:val="20"/>
          <w:szCs w:val="20"/>
          <w:color w:val="auto"/>
        </w:rPr>
      </w:pPr>
      <w:r>
        <w:rPr>
          <w:rFonts w:ascii="Arial" w:cs="Arial" w:eastAsia="Arial" w:hAnsi="Arial"/>
          <w:sz w:val="16"/>
          <w:szCs w:val="16"/>
          <w:color w:val="auto"/>
        </w:rPr>
        <w:t>Our Board of Directors, including a majority of the directors who were not “interested persons,” as defined in Section 2(a)(19) of the 1940 Act, of us or RGC, approved the Amended Advisory Agreement at an in-person meeting on August 3, 2017 and recommended that our stockholders approve the Amended Advisory Agreement. The Amended Advisory Agreement became effective on September 12, 2017, after approval by our stockholders at a special meeting of stockholders and was renewed by our Board of Directors at an in-person meeting on July 30, 2019. In its consideration of the approval of the Amended Advisory Agreement, our Board of Directors focused on information it had received relating to, among other things:</w:t>
      </w:r>
    </w:p>
    <w:p>
      <w:pPr>
        <w:spacing w:after="0" w:line="58" w:lineRule="exact"/>
        <w:rPr>
          <w:sz w:val="20"/>
          <w:szCs w:val="20"/>
          <w:color w:val="auto"/>
        </w:rPr>
      </w:pPr>
    </w:p>
    <w:p>
      <w:pPr>
        <w:ind w:left="1800" w:right="679" w:hanging="178"/>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provided to us by RGC under the terms of the Amended Advisory Agreement;</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investment performance and the investment performance of RGC;</w:t>
      </w:r>
    </w:p>
    <w:p>
      <w:pPr>
        <w:spacing w:after="0" w:line="117"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62"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about the services being performed and the personnel performing such services under the Amended Advisory Agreement;</w:t>
      </w:r>
    </w:p>
    <w:p>
      <w:pPr>
        <w:spacing w:after="0" w:line="62" w:lineRule="exact"/>
        <w:rPr>
          <w:rFonts w:ascii="Arial" w:cs="Arial" w:eastAsia="Arial" w:hAnsi="Arial"/>
          <w:sz w:val="18"/>
          <w:szCs w:val="18"/>
          <w:color w:val="auto"/>
        </w:rPr>
      </w:pPr>
    </w:p>
    <w:p>
      <w:pPr>
        <w:jc w:val="both"/>
        <w:ind w:left="1800" w:right="679" w:hanging="178"/>
        <w:spacing w:after="0" w:line="263"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 including expenses related to investment due diligence, travel and investigating and monitoring investments;</w:t>
      </w:r>
    </w:p>
    <w:p>
      <w:pPr>
        <w:spacing w:after="0" w:line="75"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existing and potential sources of indirect income to RGC from its relationship with us and RGC’s profitability; and</w:t>
      </w:r>
    </w:p>
    <w:p>
      <w:pPr>
        <w:spacing w:after="0" w:line="62"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fee levels reflect these economies of scale for the benefit of our stockholders.</w:t>
      </w:r>
    </w:p>
    <w:p>
      <w:pPr>
        <w:spacing w:after="0" w:line="103" w:lineRule="exact"/>
        <w:rPr>
          <w:sz w:val="20"/>
          <w:szCs w:val="20"/>
          <w:color w:val="auto"/>
        </w:rPr>
      </w:pPr>
    </w:p>
    <w:p>
      <w:pPr>
        <w:jc w:val="both"/>
        <w:ind w:left="1260" w:right="679" w:firstLine="360"/>
        <w:spacing w:after="0" w:line="271" w:lineRule="auto"/>
        <w:rPr>
          <w:sz w:val="20"/>
          <w:szCs w:val="20"/>
          <w:color w:val="auto"/>
        </w:rPr>
      </w:pPr>
      <w:r>
        <w:rPr>
          <w:rFonts w:ascii="Arial" w:cs="Arial" w:eastAsia="Arial" w:hAnsi="Arial"/>
          <w:sz w:val="17"/>
          <w:szCs w:val="17"/>
          <w:color w:val="auto"/>
        </w:rPr>
        <w:t>Our Board of Directors did not quantify, rank or otherwise assign relative weights to the specific factors it considered in reaching its decision. Our Board of Directors did not undertake to make any specific determination as to whether any particular factor, or any aspect of any particular factor, was favorable or unfavorable to its ultimate determination. Rather, our Board of Directors based its approval on the totality of information presented to, and the investigation conducted by, it. In considering the factors discussed above, individual directors may have given different weights to different factors. Based on its review of the above-mentioned factors and discussion of the Amended Advisory Agreement, our Board of Directors approved the Amended Advisory Agreement as being in our and our stockholders’ best interests.</w:t>
      </w:r>
    </w:p>
    <w:p>
      <w:pPr>
        <w:spacing w:after="0" w:line="1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Duration and Termination</w:t>
      </w:r>
    </w:p>
    <w:p>
      <w:pPr>
        <w:spacing w:after="0" w:line="158" w:lineRule="exact"/>
        <w:rPr>
          <w:sz w:val="20"/>
          <w:szCs w:val="20"/>
          <w:color w:val="auto"/>
        </w:rPr>
      </w:pPr>
    </w:p>
    <w:p>
      <w:pPr>
        <w:jc w:val="both"/>
        <w:ind w:left="1260" w:right="679" w:firstLine="360"/>
        <w:spacing w:after="0" w:line="291" w:lineRule="auto"/>
        <w:rPr>
          <w:sz w:val="20"/>
          <w:szCs w:val="20"/>
          <w:color w:val="auto"/>
        </w:rPr>
      </w:pPr>
      <w:r>
        <w:rPr>
          <w:rFonts w:ascii="Arial" w:cs="Arial" w:eastAsia="Arial" w:hAnsi="Arial"/>
          <w:sz w:val="16"/>
          <w:szCs w:val="16"/>
          <w:color w:val="auto"/>
        </w:rPr>
        <w:t>Unless terminated earlier as described below, the Amended Advisory Agreement will continue automatically for successive annual periods provided that such continuance is specifically approved at least annually by</w:t>
      </w:r>
    </w:p>
    <w:p>
      <w:pPr>
        <w:jc w:val="both"/>
        <w:ind w:left="1260" w:right="679" w:firstLine="2"/>
        <w:spacing w:after="0" w:line="268" w:lineRule="auto"/>
        <w:tabs>
          <w:tab w:leader="none" w:pos="1477" w:val="left"/>
        </w:tabs>
        <w:numPr>
          <w:ilvl w:val="0"/>
          <w:numId w:val="6"/>
        </w:numPr>
        <w:rPr>
          <w:rFonts w:ascii="Arial" w:cs="Arial" w:eastAsia="Arial" w:hAnsi="Arial"/>
          <w:sz w:val="17"/>
          <w:szCs w:val="17"/>
          <w:color w:val="auto"/>
        </w:rPr>
      </w:pPr>
      <w:r>
        <w:rPr>
          <w:rFonts w:ascii="Arial" w:cs="Arial" w:eastAsia="Arial" w:hAnsi="Arial"/>
          <w:sz w:val="17"/>
          <w:szCs w:val="17"/>
          <w:color w:val="auto"/>
        </w:rPr>
        <w:t>(A) the affirmative vote of a majority of our Board of Directors or (B) the affirmative vote of a majority of our outstanding voting securities, and (ii) the affirmative vote of a majority of our directors who are not “interested persons,” as defined in Section 2(a)(19) of the 1940 Act, of us, RGC or our respective affiliates. The Amended Advisory Agreement automatically terminates in the event of its assignment, as defined in the 1940 Act, and may be terminated, without penalty, upon not more than 60 days’ written notice, by (i) the affirmative vote of a majority of our outstanding voting securities, (ii) the affirmative vote of a majority of our Board of Directors, including a majority of our directors who are not “interested persons,” as defined in Section 2(a)(19) of the 1940 Act, of us, RGC or our respective affiliates, or (iii) RGC. See “Risk Factors — Risks Related to our Business and Structure — RGC and our Administrator have the right to resign upon not more than 60 days’ notice, and we may not be able to find a suitable replacement for either</w:t>
      </w:r>
    </w:p>
    <w:p>
      <w:pPr>
        <w:sectPr>
          <w:pgSz w:w="11900" w:h="16838" w:orient="portrait"/>
          <w:cols w:equalWidth="0" w:num="1">
            <w:col w:w="10139"/>
          </w:cols>
          <w:pgMar w:left="320" w:top="131" w:right="1440" w:bottom="1440" w:gutter="0" w:footer="0" w:header="0"/>
        </w:sectPr>
      </w:pPr>
    </w:p>
    <w:p>
      <w:pPr>
        <w:spacing w:after="0" w:line="354"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color w:val="auto"/>
        </w:rPr>
        <w:t>within that time, or at all, resulting in a disruption in our operations that could adversely affect our financial condition, business and results of operations” in Part I, Item 1A of this Form 10-K.</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About Our Administrator</w:t>
      </w:r>
    </w:p>
    <w:p>
      <w:pPr>
        <w:spacing w:after="0" w:line="148" w:lineRule="exact"/>
        <w:rPr>
          <w:sz w:val="20"/>
          <w:szCs w:val="20"/>
          <w:color w:val="auto"/>
        </w:rPr>
      </w:pPr>
    </w:p>
    <w:p>
      <w:pPr>
        <w:jc w:val="both"/>
        <w:ind w:left="1260" w:right="679" w:firstLine="360"/>
        <w:spacing w:after="0" w:line="253" w:lineRule="auto"/>
        <w:rPr>
          <w:sz w:val="20"/>
          <w:szCs w:val="20"/>
          <w:color w:val="auto"/>
        </w:rPr>
      </w:pPr>
      <w:r>
        <w:rPr>
          <w:rFonts w:ascii="Arial" w:cs="Arial" w:eastAsia="Arial" w:hAnsi="Arial"/>
          <w:sz w:val="17"/>
          <w:szCs w:val="17"/>
          <w:color w:val="auto"/>
        </w:rPr>
        <w:t>We have entered into the Administration Agreement with our Administrator, a wholly-owned subsidiary of RGC, pursuant to which our Administrator is responsible for furnishing us with office facilities and equipment and provides us with clerical, bookkeeping, recordkeeping and other administrative services at such facilities. Pursuant to the Administration Agreement, we pay our Administrator an amount equal to our allocable portion (subject to the review of our Board of Directors) of our Administrator’s overhead resulting from its obligations under the Administration Agreement, including rent and the allocable portion of the cost of our Chief Compliance Officer and Chief Financial Officer and their respective staffs associated with performing compliance functions. Pursuant to the terms of the Administration Agreement, the amounts payable to the Administrator from us in any fiscal year will not exceed the greater of (i) 0.75% of the aggregate capital commitments as of the end of the most recently completed fiscal year and (ii) $1.0 million.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Oaktree Strategic Relationship</w:t>
      </w:r>
    </w:p>
    <w:p>
      <w:pPr>
        <w:spacing w:after="0" w:line="162"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7"/>
          <w:szCs w:val="17"/>
          <w:color w:val="auto"/>
        </w:rPr>
        <w:t>In December 2016, we and RGC entered into a strategic relationship with Oaktree Capital Management, L.P. (“Oaktree”). Oaktree is a leading global alternative investment management firm with expertise in credit strategies. The firm was formed in 1995 by a group of individuals who had been investing together since the mid-1980s in high yield bonds, convertible securities, distressed debt, real estate, control investments and listed equities. Oaktree is a leader among global investment managers specializing in alternative investments, with $125 billion in assets under management as of December 31, 2019. The firm emphasizes an opportunistic, value-oriented and risk-controlled approach to investments in credit, private equity, real assets and listed equities. The firm has over 950 employees and offices in 18 cities worldwide.</w:t>
      </w:r>
    </w:p>
    <w:p>
      <w:pPr>
        <w:spacing w:after="0" w:line="113" w:lineRule="exact"/>
        <w:rPr>
          <w:sz w:val="20"/>
          <w:szCs w:val="20"/>
          <w:color w:val="auto"/>
        </w:rPr>
      </w:pPr>
    </w:p>
    <w:p>
      <w:pPr>
        <w:jc w:val="both"/>
        <w:ind w:left="1260" w:right="679" w:firstLine="360"/>
        <w:spacing w:after="0" w:line="255" w:lineRule="auto"/>
        <w:rPr>
          <w:sz w:val="20"/>
          <w:szCs w:val="20"/>
          <w:color w:val="auto"/>
        </w:rPr>
      </w:pPr>
      <w:r>
        <w:rPr>
          <w:rFonts w:ascii="Arial" w:cs="Arial" w:eastAsia="Arial" w:hAnsi="Arial"/>
          <w:sz w:val="17"/>
          <w:szCs w:val="17"/>
          <w:color w:val="auto"/>
        </w:rPr>
        <w:t>In connection with the strategic relationship, OCM Growth Holdings, LLC, a Delaware limited liability company (“OCM”) managed by Oaktree, made an initial $125 million capital commitment to us, which was subsequently increased to $139 million (the “Initial OCM Commitment”). On June 14, 2019, the Company accepted an additional capital commitment from OCM in the amount of $112.5 million (the “Subsequent OCM Commitment) and, together with the Initial OCM Commitment (the “OCM Commitment”), for a total of capital commitment of $251.5 million. OCM has granted a proxy to us pursuant to which the shares held by OCM will be voted in the same proportion as our other stockholders vote their shares.</w:t>
      </w:r>
    </w:p>
    <w:p>
      <w:pPr>
        <w:spacing w:after="0" w:line="99" w:lineRule="exact"/>
        <w:rPr>
          <w:sz w:val="20"/>
          <w:szCs w:val="20"/>
          <w:color w:val="auto"/>
        </w:rPr>
      </w:pPr>
    </w:p>
    <w:p>
      <w:pPr>
        <w:jc w:val="both"/>
        <w:ind w:left="1260" w:right="679" w:firstLine="360"/>
        <w:spacing w:after="0" w:line="239" w:lineRule="auto"/>
        <w:rPr>
          <w:sz w:val="20"/>
          <w:szCs w:val="20"/>
          <w:color w:val="auto"/>
        </w:rPr>
      </w:pPr>
      <w:r>
        <w:rPr>
          <w:rFonts w:ascii="Arial" w:cs="Arial" w:eastAsia="Arial" w:hAnsi="Arial"/>
          <w:sz w:val="18"/>
          <w:szCs w:val="18"/>
          <w:color w:val="auto"/>
        </w:rPr>
        <w:t>In connection with the OCM Commitment, we entered into a stockholder agreement, dated December 15, 2016, with OCM pursuant to which OCM has a right to nominate a member of our Board of Directors for election. Brian Laibow was appointed to our Board of Directors, effective January 25, 2017, as OCM’s representative. OCM also holds an interest in RGC and has the right to appoint a member of RGC’s board of managers and a member of the Investment Committee. OCM’s initial appointee to RGC’s board of managers and Investment Committee is Brian Laibow. In connection with the Subsequent OCM Commitment, OCM purchased additional equity in RGC.</w:t>
      </w:r>
    </w:p>
    <w:p>
      <w:pPr>
        <w:spacing w:after="0" w:line="123" w:lineRule="exact"/>
        <w:rPr>
          <w:sz w:val="20"/>
          <w:szCs w:val="20"/>
          <w:color w:val="auto"/>
        </w:rPr>
      </w:pPr>
    </w:p>
    <w:p>
      <w:pPr>
        <w:jc w:val="both"/>
        <w:ind w:left="1260" w:right="679" w:firstLine="360"/>
        <w:spacing w:after="0" w:line="239" w:lineRule="auto"/>
        <w:rPr>
          <w:sz w:val="20"/>
          <w:szCs w:val="20"/>
          <w:color w:val="auto"/>
        </w:rPr>
      </w:pPr>
      <w:r>
        <w:rPr>
          <w:rFonts w:ascii="Arial" w:cs="Arial" w:eastAsia="Arial" w:hAnsi="Arial"/>
          <w:sz w:val="18"/>
          <w:szCs w:val="18"/>
          <w:color w:val="auto"/>
        </w:rPr>
        <w:t>We believe that our strategic relationship with Oaktree will provide us with access to additional resources and investment opportunities by expanding our network of relationships with venture backed companies. RGC expects to continue to draw upon Oaktree’s over 20-year history in the investment management business and to continue to benefit from Oaktree’s investment professionals’ significant credit expertise developed through investments in different industries and over numerous companies in the United States. In addition, we expect to utilize Oaktree’s relationships to gain better access to leverage facilities with better terms and provisions than we would otherwise be able to obtain.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Investor Liquidity Options</w:t>
      </w:r>
    </w:p>
    <w:p>
      <w:pPr>
        <w:spacing w:after="0" w:line="162"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7"/>
          <w:szCs w:val="17"/>
          <w:color w:val="auto"/>
        </w:rPr>
        <w:t>At any time after the third anniversary of the Initial Closing, we will offer our stockholders the option to elect to either (i) retain their ownership of shares of our common stock; or (ii) exchange their shares of our common stock for shares of common stock in a newly formed entity (the “Public Fund”) that will elect to be regulated as a BDC under the 1940 Act and treated as a RIC under Subchapter M of the Code, and will use its commercially reasonable best efforts to complete an IPO of shares of its common stock not later than</w:t>
      </w:r>
    </w:p>
    <w:p>
      <w:pPr>
        <w:spacing w:after="0" w:line="34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three years after the final closing of the Initial Private Offering, which occurred on December 1, 2017; or</w:t>
      </w:r>
    </w:p>
    <w:p>
      <w:pPr>
        <w:spacing w:after="0" w:line="23" w:lineRule="exact"/>
        <w:rPr>
          <w:sz w:val="20"/>
          <w:szCs w:val="20"/>
          <w:color w:val="auto"/>
        </w:rPr>
      </w:pPr>
    </w:p>
    <w:p>
      <w:pPr>
        <w:jc w:val="both"/>
        <w:ind w:left="1260" w:right="679" w:firstLine="2"/>
        <w:spacing w:after="0" w:line="251" w:lineRule="auto"/>
        <w:tabs>
          <w:tab w:leader="none" w:pos="1576"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exchange their shares of our common stock for interests in a newly formed entity (a “Liquidating Fund”) that will, among other things, seek to complete an orderly wind down and/or liquidation of the Liquidating Fund; provided, however, in no event will a stockholder be obligated to exchange his, her or its shares of our common stock for shares of common stock in the Public Fund or interests in the Liquidating Fund. In order to effectuate these options, we expect that we would need to, among other things, transfer to the Public Fund and/or the Liquidating Fund, in exchange for newly issued shares of the Public Fund and/or the Liquidating Fund, a pro rata portion of our assets and liabilities attributable to the investors that have elected to invest in the Public Fund and/or the Liquidating Fund (such transfer of assets and liabilities and the mechanics relating thereto are referred to herein as the “Spin-Off transaction”).</w:t>
      </w:r>
    </w:p>
    <w:p>
      <w:pPr>
        <w:spacing w:after="0" w:line="102" w:lineRule="exact"/>
        <w:rPr>
          <w:sz w:val="20"/>
          <w:szCs w:val="20"/>
          <w:color w:val="auto"/>
        </w:rPr>
      </w:pPr>
    </w:p>
    <w:p>
      <w:pPr>
        <w:jc w:val="both"/>
        <w:ind w:left="1260" w:right="679" w:firstLine="360"/>
        <w:spacing w:after="0" w:line="238" w:lineRule="auto"/>
        <w:rPr>
          <w:sz w:val="20"/>
          <w:szCs w:val="20"/>
          <w:color w:val="auto"/>
        </w:rPr>
      </w:pPr>
      <w:r>
        <w:rPr>
          <w:rFonts w:ascii="Arial" w:cs="Arial" w:eastAsia="Arial" w:hAnsi="Arial"/>
          <w:sz w:val="18"/>
          <w:szCs w:val="18"/>
          <w:color w:val="auto"/>
        </w:rPr>
        <w:t>We may exclude any stockholder from participating in the Spin-Off transaction if, in our reasonable discretion, there is a substantial likelihood that such stockholder’s exchange of shares of our common stock at such time would cause us or the Public Fund to (i) be in violation of, or noncompliance with, any law or regulation to which such entity is or would be subject or (ii) be deemed to hold “plan assets” under the Employee Retirement Income Security Act of 1974, as amended (“ERISA”) or Section 4975 of the Code because the investments of “benefit plan investors” (within the meaning of Section 3(42) of ERISA and certain Department of Labor (“DOL”) regulations (such investors referred to herein as “Benefit Plan Investors”)) are deemed to be significant.</w:t>
      </w:r>
    </w:p>
    <w:p>
      <w:pPr>
        <w:spacing w:after="0" w:line="126"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6"/>
          <w:szCs w:val="16"/>
          <w:color w:val="auto"/>
        </w:rPr>
        <w:t>Because RGC would be managing both us the Public Fund and the Liquidating Fund in connection with any Spin-Off transaction, and the 1940 Act prohibits entities under common control from engaging in certain transactions, we will likely be required to obtain exemptive and/or no-action relief from the SEC to permit us to transfer assets to a Public Fund or a Liquidating Fund, as well as with respect to other aspects relating to the Spin-Off transaction, including the calculation of incentive fee to be paid by us in connection with a Spin-Off transaction. We and RGC have applied for exemptive relief from the SEC to permit us to transfer assets to a Public Fund or a Liquidating Fund, as well as with respect to other aspects relating to the Spin-Off transaction, including the calculation of incentive fee to be paid by us in connection with a Spin-Off transaction, and we have received preliminary comments from the SEC. There can be no assurance that we will be able to obtain such exemptive and/or no-action relief from the SEC. If we are unable to do so, then we will continue our operations in the manner otherwise set forth in this annual report on Form 10-K and our public filings with the SEC.</w:t>
      </w:r>
    </w:p>
    <w:p>
      <w:pPr>
        <w:spacing w:after="0" w:line="99" w:lineRule="exact"/>
        <w:rPr>
          <w:sz w:val="20"/>
          <w:szCs w:val="20"/>
          <w:color w:val="auto"/>
        </w:rPr>
      </w:pPr>
    </w:p>
    <w:p>
      <w:pPr>
        <w:jc w:val="both"/>
        <w:ind w:left="1260" w:right="679" w:firstLine="360"/>
        <w:spacing w:after="0" w:line="239" w:lineRule="auto"/>
        <w:rPr>
          <w:sz w:val="20"/>
          <w:szCs w:val="20"/>
          <w:color w:val="auto"/>
        </w:rPr>
      </w:pPr>
      <w:r>
        <w:rPr>
          <w:rFonts w:ascii="Arial" w:cs="Arial" w:eastAsia="Arial" w:hAnsi="Arial"/>
          <w:sz w:val="18"/>
          <w:szCs w:val="18"/>
          <w:color w:val="auto"/>
        </w:rPr>
        <w:t>From time to time, we may also offer to repurchase a portion of our shares of common stock outstanding from stockholders. If we elect to offer to repurchase a portion of our shares of common stock outstanding, we expect that only a limited number of shares will be eligible for repurchase from stockholders. In addition, any such repurchases will be subject to applicable restrictions and requirements under the federal securities laws and the 1940 Act, will be at a price equal to our most recently determined net asset value per share, which may be at a discount to the price at which a stockholder purchased shares of common stock, and may be subject to any applicable lock-up period.</w:t>
      </w:r>
    </w:p>
    <w:p>
      <w:pPr>
        <w:spacing w:after="0" w:line="110" w:lineRule="exact"/>
        <w:rPr>
          <w:sz w:val="20"/>
          <w:szCs w:val="20"/>
          <w:color w:val="auto"/>
        </w:rPr>
      </w:pPr>
    </w:p>
    <w:p>
      <w:pPr>
        <w:jc w:val="both"/>
        <w:ind w:left="1260" w:right="679" w:firstLine="360"/>
        <w:spacing w:after="0" w:line="257" w:lineRule="auto"/>
        <w:rPr>
          <w:sz w:val="20"/>
          <w:szCs w:val="20"/>
          <w:color w:val="auto"/>
        </w:rPr>
      </w:pPr>
      <w:r>
        <w:rPr>
          <w:rFonts w:ascii="Arial" w:cs="Arial" w:eastAsia="Arial" w:hAnsi="Arial"/>
          <w:sz w:val="17"/>
          <w:szCs w:val="17"/>
          <w:color w:val="auto"/>
        </w:rPr>
        <w:t>We may also make an alternative trading system (the “Trading Platform”) operated by The Nasdaq Private Market, LLC or its affiliates available to stockholders. It is anticipated that stockholders would be able to access such a Trading Platform to identify available secondary trading opportunities. Secondary trading on the Trading Platform, if available, will be subject to applicable law and would be restricted solely to accredited investors and subject to any applicable lock-up period. Stockholders who access the Trading Platform would be subject to certain transaction fees that will not be reimbursed by us or by RGC.</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 Strategy and Approach</w:t>
      </w:r>
    </w:p>
    <w:p>
      <w:pPr>
        <w:spacing w:after="0" w:line="162" w:lineRule="exact"/>
        <w:rPr>
          <w:sz w:val="20"/>
          <w:szCs w:val="20"/>
          <w:color w:val="auto"/>
        </w:rPr>
      </w:pPr>
    </w:p>
    <w:p>
      <w:pPr>
        <w:jc w:val="both"/>
        <w:ind w:left="1260" w:right="679" w:firstLine="360"/>
        <w:spacing w:after="0" w:line="272" w:lineRule="auto"/>
        <w:rPr>
          <w:sz w:val="20"/>
          <w:szCs w:val="20"/>
          <w:color w:val="auto"/>
        </w:rPr>
      </w:pPr>
      <w:r>
        <w:rPr>
          <w:rFonts w:ascii="Arial" w:cs="Arial" w:eastAsia="Arial" w:hAnsi="Arial"/>
          <w:sz w:val="16"/>
          <w:szCs w:val="16"/>
          <w:color w:val="auto"/>
        </w:rPr>
        <w:t>Our investment objective is to maximize our total return to our stockholders primarily through current income on our loan portfolio, and secondarily through capital appreciation on our warrants and other equity positions. Through our Sponsored Growth Lending and Non-Sponsored Growth Lending strategies, we invest in senior secured term loans and other senior debt obligations and may on occasion invest in second lien loans. We also expect to acquire equity securities in connection with our investments in secured loans. We expect to build a balanced portfolio with diversification among sponsored and non-sponsored transactions, diversification among sponsors within the sponsored segment, diversification among industry, geography, and stage of development, all contributing to a favorable risk adjusted return for the portfolio viewed as a</w:t>
      </w:r>
    </w:p>
    <w:p>
      <w:pPr>
        <w:spacing w:after="0" w:line="34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69" w:lineRule="auto"/>
        <w:rPr>
          <w:sz w:val="20"/>
          <w:szCs w:val="20"/>
          <w:color w:val="auto"/>
        </w:rPr>
      </w:pPr>
      <w:r>
        <w:rPr>
          <w:rFonts w:ascii="Arial" w:cs="Arial" w:eastAsia="Arial" w:hAnsi="Arial"/>
          <w:sz w:val="16"/>
          <w:szCs w:val="16"/>
          <w:color w:val="auto"/>
        </w:rPr>
        <w:t>whole. As we build our portfolio to scale, the effects of our diversification strategy on yield and other metrics may not be fully evident, and the impact of various weightings may be more pronounced from period to period until we achieve greater scale in our portfolio. In addition yields will fluctuate during vary stages of the credit cycle, interest rate environments, and with changing competitive pressures. For instance, typically when interest rates are low and a credit cycle extended, new entrants will enter traditionally higher yielding markets creating additional competition and temporarily compressing yields. We believe the credit markets, and in particular the market for our lending strategies, are presently experiencing such pressures. We typically invest in what we believe to be high growth-potential, private companies. We primarily originate our own investments in the debt and, to a lesser extent, equity of our portfolio companies and utilize a disciplined approach to providing growth capital to these companies. The types of loans in which we typically invest are senior secured term loans and other senior debt obligations and, less frequently, second lien secured loans. These loans generally fall into two strategies: Sponsored Growth Lending and Non-Sponsored Growth Lending.</w:t>
      </w:r>
    </w:p>
    <w:p>
      <w:pPr>
        <w:spacing w:after="0" w:line="90" w:lineRule="exact"/>
        <w:rPr>
          <w:sz w:val="20"/>
          <w:szCs w:val="20"/>
          <w:color w:val="auto"/>
        </w:rPr>
      </w:pPr>
    </w:p>
    <w:p>
      <w:pPr>
        <w:jc w:val="both"/>
        <w:ind w:left="1260" w:right="679" w:firstLine="360"/>
        <w:spacing w:after="0" w:line="252" w:lineRule="auto"/>
        <w:rPr>
          <w:sz w:val="20"/>
          <w:szCs w:val="20"/>
          <w:color w:val="auto"/>
        </w:rPr>
      </w:pPr>
      <w:r>
        <w:rPr>
          <w:rFonts w:ascii="Arial" w:cs="Arial" w:eastAsia="Arial" w:hAnsi="Arial"/>
          <w:sz w:val="17"/>
          <w:szCs w:val="17"/>
          <w:i w:val="1"/>
          <w:iCs w:val="1"/>
          <w:color w:val="auto"/>
        </w:rPr>
        <w:t xml:space="preserve">Sponsored Growth Lending. </w:t>
      </w:r>
      <w:r>
        <w:rPr>
          <w:rFonts w:ascii="Arial" w:cs="Arial" w:eastAsia="Arial" w:hAnsi="Arial"/>
          <w:sz w:val="17"/>
          <w:szCs w:val="17"/>
          <w:color w:val="auto"/>
        </w:rPr>
        <w:t>Our Sponsored Growth Lending generally includes loans to companies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already backed by established venture capital and private equity firms. Our Sponsored Growth Lending typically includes the receipt of warrants and/or other equity from the venture-backed companies. We refer to these target borrowers as “venture-backed companies.” We target venture-backed companies at all stages of development, with a bias towards later-stage, including those that are pre-revenue. To a limited extent, we also selectively lend to publicly traded companies with venture capital ownership. We focus on lending to companies focused in technology, life sciences, healthcare information and services, business services and other high-growth industries. The technology sectors we focus on include communications, networking, data storage, software, cloud computing, semiconductor, power management, internet and media and consumer-related technologies. The life science sectors we focus on include biotechnology, drug discovery, drug delivery, bioinformatics and medical devices. The healthcare information and services sectors we focus on include diagnostics, medical-record services and software and other healthcare-related services and technologies that improve efficiency and quality of administered healthcare.</w:t>
      </w:r>
    </w:p>
    <w:p>
      <w:pPr>
        <w:spacing w:after="0" w:line="113" w:lineRule="exact"/>
        <w:rPr>
          <w:sz w:val="20"/>
          <w:szCs w:val="20"/>
          <w:color w:val="auto"/>
        </w:rPr>
      </w:pPr>
    </w:p>
    <w:p>
      <w:pPr>
        <w:jc w:val="both"/>
        <w:ind w:left="1260" w:right="679" w:firstLine="360"/>
        <w:spacing w:after="0" w:line="262" w:lineRule="auto"/>
        <w:rPr>
          <w:sz w:val="20"/>
          <w:szCs w:val="20"/>
          <w:color w:val="auto"/>
        </w:rPr>
      </w:pPr>
      <w:r>
        <w:rPr>
          <w:rFonts w:ascii="Arial" w:cs="Arial" w:eastAsia="Arial" w:hAnsi="Arial"/>
          <w:sz w:val="17"/>
          <w:szCs w:val="17"/>
          <w:color w:val="auto"/>
        </w:rPr>
        <w:t>We believe that the Sponsored Growth Lending strategy we follow is particularly attractive because the loans have high yields and additional equity upside. Investors may receive significant current income while gaining access to equity upside in companies that are often backed by the nation’s top-tier and other respected venture capital investors. We believe our Sponsored Growth Lending strategy typically:</w:t>
      </w:r>
    </w:p>
    <w:p>
      <w:pPr>
        <w:spacing w:after="0" w:line="64" w:lineRule="exact"/>
        <w:rPr>
          <w:sz w:val="20"/>
          <w:szCs w:val="20"/>
          <w:color w:val="auto"/>
        </w:rPr>
      </w:pPr>
    </w:p>
    <w:p>
      <w:pPr>
        <w:ind w:left="1800" w:hanging="178"/>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provides us access to many high-quality companies backed by top-tier investors;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delivers consistent returns through double-digit loan yields;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participates in equity upside via warrants.</w:t>
      </w:r>
    </w:p>
    <w:p>
      <w:pPr>
        <w:spacing w:after="0" w:line="144" w:lineRule="exact"/>
        <w:rPr>
          <w:sz w:val="20"/>
          <w:szCs w:val="20"/>
          <w:color w:val="auto"/>
        </w:rPr>
      </w:pPr>
    </w:p>
    <w:p>
      <w:pPr>
        <w:jc w:val="both"/>
        <w:ind w:left="1260" w:right="679" w:firstLine="360"/>
        <w:spacing w:after="0" w:line="274" w:lineRule="auto"/>
        <w:rPr>
          <w:sz w:val="20"/>
          <w:szCs w:val="20"/>
          <w:color w:val="auto"/>
        </w:rPr>
      </w:pPr>
      <w:r>
        <w:rPr>
          <w:rFonts w:ascii="Arial" w:cs="Arial" w:eastAsia="Arial" w:hAnsi="Arial"/>
          <w:sz w:val="16"/>
          <w:szCs w:val="16"/>
          <w:i w:val="1"/>
          <w:iCs w:val="1"/>
          <w:color w:val="auto"/>
        </w:rPr>
        <w:t>Non-Sponsored Growth Lending</w:t>
      </w:r>
      <w:r>
        <w:rPr>
          <w:rFonts w:ascii="Arial" w:cs="Arial" w:eastAsia="Arial" w:hAnsi="Arial"/>
          <w:sz w:val="16"/>
          <w:szCs w:val="16"/>
          <w:color w:val="auto"/>
        </w:rPr>
        <w:t>. Our Non-Sponsored Growth Lending generally includes loans to fast-growing private companies that are not backed by a professional equity investor sponsor, a venture capital firm or a private equity firm or are funded by entrepreneurs themselves or no longer require institutional equity investment, including publicly traded small-cap companies. We refer to these target borrowers as “non-sponsored growth companies.” As opposed to Sponsored Growth Lending, in the case of Non-Sponsored Growth Lending, we generally intend to target companies with annual revenue of at least $20 million per year. To a limited extent, we also selectively provide non-sponsored growth loans to publicly traded companies.</w:t>
      </w:r>
    </w:p>
    <w:p>
      <w:pPr>
        <w:spacing w:after="0" w:line="96" w:lineRule="exact"/>
        <w:rPr>
          <w:sz w:val="20"/>
          <w:szCs w:val="20"/>
          <w:color w:val="auto"/>
        </w:rPr>
      </w:pPr>
    </w:p>
    <w:p>
      <w:pPr>
        <w:jc w:val="both"/>
        <w:ind w:left="1260" w:right="679" w:firstLine="360"/>
        <w:spacing w:after="0" w:line="261" w:lineRule="auto"/>
        <w:rPr>
          <w:sz w:val="20"/>
          <w:szCs w:val="20"/>
          <w:color w:val="auto"/>
        </w:rPr>
      </w:pPr>
      <w:r>
        <w:rPr>
          <w:rFonts w:ascii="Arial" w:cs="Arial" w:eastAsia="Arial" w:hAnsi="Arial"/>
          <w:sz w:val="18"/>
          <w:szCs w:val="18"/>
          <w:color w:val="auto"/>
        </w:rPr>
        <w:t>We believe that our lending approach significantly reduces the volatility inherent in financing emerging-growth companies.</w:t>
      </w:r>
    </w:p>
    <w:p>
      <w:pPr>
        <w:spacing w:after="0" w:line="103" w:lineRule="exact"/>
        <w:rPr>
          <w:sz w:val="20"/>
          <w:szCs w:val="20"/>
          <w:color w:val="auto"/>
        </w:rPr>
      </w:pPr>
    </w:p>
    <w:p>
      <w:pPr>
        <w:jc w:val="both"/>
        <w:ind w:left="1260" w:right="679" w:firstLine="360"/>
        <w:spacing w:after="0" w:line="261" w:lineRule="auto"/>
        <w:rPr>
          <w:sz w:val="20"/>
          <w:szCs w:val="20"/>
          <w:color w:val="auto"/>
        </w:rPr>
      </w:pPr>
      <w:r>
        <w:rPr>
          <w:rFonts w:ascii="Arial" w:cs="Arial" w:eastAsia="Arial" w:hAnsi="Arial"/>
          <w:sz w:val="18"/>
          <w:szCs w:val="18"/>
          <w:color w:val="auto"/>
        </w:rPr>
        <w:t>We believe the following attributes, which we expect to be included in most of the loans of our investment strategies, present an attractive risk profile:</w:t>
      </w:r>
    </w:p>
    <w:p>
      <w:pPr>
        <w:spacing w:after="0" w:line="49" w:lineRule="exact"/>
        <w:rPr>
          <w:sz w:val="20"/>
          <w:szCs w:val="20"/>
          <w:color w:val="auto"/>
        </w:rPr>
      </w:pPr>
    </w:p>
    <w:p>
      <w:pPr>
        <w:ind w:left="1800" w:hanging="178"/>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meaningful amortization over the life of each loan and short to medium loan term;</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low ratio of leverage to enterprise value;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secured collateral position.</w:t>
      </w:r>
    </w:p>
    <w:p>
      <w:pPr>
        <w:spacing w:after="0" w:line="158"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We believe there are significant barriers to entry in providing sponsored growth lending and non-sponsored growth lending, which results generally, in an environment with a limited number of</w:t>
      </w:r>
    </w:p>
    <w:p>
      <w:pPr>
        <w:spacing w:after="0" w:line="34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color w:val="auto"/>
        </w:rPr>
        <w:t>competitors. In particular, we believe we will be able to capitalize on the following crucial elements for success in the private growth company lending market:</w:t>
      </w:r>
    </w:p>
    <w:p>
      <w:pPr>
        <w:spacing w:after="0" w:line="49" w:lineRule="exact"/>
        <w:rPr>
          <w:sz w:val="20"/>
          <w:szCs w:val="20"/>
          <w:color w:val="auto"/>
        </w:rPr>
      </w:pPr>
    </w:p>
    <w:p>
      <w:pPr>
        <w:ind w:left="1800" w:right="679" w:hanging="178"/>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relationships with top-tier and other respected venture capital investors, growth company entrepreneurs, and other deal referral sources;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reputation as a reliable, supportive, and value-added partner;</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accurately determine credit risk and gauge warrant potential; and</w:t>
      </w:r>
    </w:p>
    <w:p>
      <w:pPr>
        <w:spacing w:after="0" w:line="117"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in the unique aspects of growth company debt pricing, structure, portfolio construction and management.</w:t>
      </w:r>
    </w:p>
    <w:p>
      <w:pPr>
        <w:spacing w:after="0" w:line="89" w:lineRule="exact"/>
        <w:rPr>
          <w:sz w:val="20"/>
          <w:szCs w:val="20"/>
          <w:color w:val="auto"/>
        </w:rPr>
      </w:pPr>
    </w:p>
    <w:p>
      <w:pPr>
        <w:jc w:val="both"/>
        <w:ind w:left="1260" w:right="679" w:firstLine="360"/>
        <w:spacing w:after="0" w:line="261" w:lineRule="auto"/>
        <w:rPr>
          <w:sz w:val="20"/>
          <w:szCs w:val="20"/>
          <w:color w:val="auto"/>
        </w:rPr>
      </w:pPr>
      <w:r>
        <w:rPr>
          <w:rFonts w:ascii="Arial" w:cs="Arial" w:eastAsia="Arial" w:hAnsi="Arial"/>
          <w:sz w:val="18"/>
          <w:szCs w:val="18"/>
          <w:color w:val="auto"/>
        </w:rPr>
        <w:t>The above attributes are not easily acquired and take years to establish. We believe RGC’s experienced, disciplined, and cohesive investment team possesses these necessary capabilities.</w:t>
      </w:r>
    </w:p>
    <w:p>
      <w:pPr>
        <w:spacing w:after="0" w:line="103" w:lineRule="exact"/>
        <w:rPr>
          <w:sz w:val="20"/>
          <w:szCs w:val="20"/>
          <w:color w:val="auto"/>
        </w:rPr>
      </w:pPr>
    </w:p>
    <w:p>
      <w:pPr>
        <w:jc w:val="both"/>
        <w:ind w:left="1260" w:right="679" w:firstLine="360"/>
        <w:spacing w:after="0" w:line="248" w:lineRule="auto"/>
        <w:rPr>
          <w:sz w:val="20"/>
          <w:szCs w:val="20"/>
          <w:color w:val="auto"/>
        </w:rPr>
      </w:pPr>
      <w:r>
        <w:rPr>
          <w:rFonts w:ascii="Arial" w:cs="Arial" w:eastAsia="Arial" w:hAnsi="Arial"/>
          <w:sz w:val="18"/>
          <w:szCs w:val="18"/>
          <w:color w:val="auto"/>
        </w:rPr>
        <w:t>In addition to our core strategy of providing sponsored growth lending and non-sponsored growth lending, we may also opportunistically participate in the secondary markets for sponsored growth lending and non-sponsored growth lending.</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Typical attributes of our Sponsored Growth Lending and Non-Sponsored Growth Lending are as follows:</w:t>
      </w:r>
    </w:p>
    <w:p>
      <w:pPr>
        <w:spacing w:after="0" w:line="102" w:lineRule="exact"/>
        <w:rPr>
          <w:sz w:val="20"/>
          <w:szCs w:val="20"/>
          <w:color w:val="auto"/>
        </w:rPr>
      </w:pPr>
    </w:p>
    <w:p>
      <w:pPr>
        <w:ind w:left="1800" w:hanging="178"/>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loan-size ranges from $10 million to $50 million;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 total repayment periods: typically, 36 to 60 months or less;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provide for interest-only or moderate loan amortization in the initial period of the loan;</w:t>
      </w:r>
    </w:p>
    <w:p>
      <w:pPr>
        <w:spacing w:after="0" w:line="117" w:lineRule="exact"/>
        <w:rPr>
          <w:rFonts w:ascii="Arial" w:cs="Arial" w:eastAsia="Arial" w:hAnsi="Arial"/>
          <w:sz w:val="18"/>
          <w:szCs w:val="18"/>
          <w:color w:val="auto"/>
        </w:rPr>
      </w:pPr>
    </w:p>
    <w:p>
      <w:pPr>
        <w:jc w:val="both"/>
        <w:ind w:left="1800" w:right="679" w:hanging="178"/>
        <w:spacing w:after="0" w:line="259"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unlevered yield-to-maturity (</w:t>
      </w:r>
      <w:r>
        <w:rPr>
          <w:rFonts w:ascii="Arial" w:cs="Arial" w:eastAsia="Arial" w:hAnsi="Arial"/>
          <w:sz w:val="18"/>
          <w:szCs w:val="18"/>
          <w:i w:val="1"/>
          <w:iCs w:val="1"/>
          <w:color w:val="auto"/>
        </w:rPr>
        <w:t>i.e</w:t>
      </w:r>
      <w:r>
        <w:rPr>
          <w:rFonts w:ascii="Arial" w:cs="Arial" w:eastAsia="Arial" w:hAnsi="Arial"/>
          <w:sz w:val="18"/>
          <w:szCs w:val="18"/>
          <w:color w:val="auto"/>
        </w:rPr>
        <w:t>., the total return anticipated on a debt investment if it is held until maturity) generally ranging from 10% to 14%, which may include current interest payments, revenue participation, upfront and facility fees, an end-of-term payment and/or a payment-in-kind (“PIK”) interest payment;</w:t>
      </w:r>
    </w:p>
    <w:p>
      <w:pPr>
        <w:spacing w:after="0" w:line="78"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warrants to acquire preferred or common stock in the prospective borrower that allow us to participate in any equity appreciation and enhance our overall returns;</w:t>
      </w:r>
    </w:p>
    <w:p>
      <w:pPr>
        <w:spacing w:after="0" w:line="62"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senior secured lien on the borrower’s assets, including a pledge on or a promise by the borrower to not pledge the borrower’s intellectual property to another individual or lender; and</w:t>
      </w:r>
    </w:p>
    <w:p>
      <w:pPr>
        <w:spacing w:after="0" w:line="62" w:lineRule="exact"/>
        <w:rPr>
          <w:rFonts w:ascii="Arial" w:cs="Arial" w:eastAsia="Arial" w:hAnsi="Arial"/>
          <w:sz w:val="18"/>
          <w:szCs w:val="18"/>
          <w:color w:val="auto"/>
        </w:rPr>
      </w:pPr>
    </w:p>
    <w:p>
      <w:pPr>
        <w:jc w:val="both"/>
        <w:ind w:left="1800" w:right="679" w:hanging="178"/>
        <w:spacing w:after="0" w:line="279" w:lineRule="auto"/>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limited and/or flexible covenant structures and, with certain affirmative and negative covenants, default penalties, lien protection, investor abandonment provisions, material adverse change provisions, change-of-control provisions, restrictions on additional use of leverage, and reimbursement for upfront and regular internal and third-party expenses and prepayment penalties.</w:t>
      </w:r>
    </w:p>
    <w:p>
      <w:pPr>
        <w:spacing w:after="0" w:line="90" w:lineRule="exact"/>
        <w:rPr>
          <w:sz w:val="20"/>
          <w:szCs w:val="20"/>
          <w:color w:val="auto"/>
        </w:rPr>
      </w:pPr>
    </w:p>
    <w:p>
      <w:pPr>
        <w:jc w:val="both"/>
        <w:ind w:left="1260" w:right="679" w:firstLine="360"/>
        <w:spacing w:after="0" w:line="238" w:lineRule="auto"/>
        <w:rPr>
          <w:sz w:val="20"/>
          <w:szCs w:val="20"/>
          <w:color w:val="auto"/>
        </w:rPr>
      </w:pPr>
      <w:r>
        <w:rPr>
          <w:rFonts w:ascii="Arial" w:cs="Arial" w:eastAsia="Arial" w:hAnsi="Arial"/>
          <w:sz w:val="18"/>
          <w:szCs w:val="18"/>
          <w:color w:val="auto"/>
        </w:rPr>
        <w:t>In recent years, substantial investor capital has been allocated the private credit and direct lending asset classes, creating and increasing competition among lenders. Increased competition across all segments of the private credit and direct lending markets, has reduced credit spreads, and along with very low historically low interest rates, has reduced investment yields and resulted in more borrower friendly terms and conditions. New competitors, including established private credit platforms in other segments, have entered the sponsored and non-sponsored growth lending market and a similar competitive dynamic is possible. While their entry may or may not be permanent, their entry could lead to competitive pressure on our investment yields and other terms and conditions in the short-term.</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i w:val="1"/>
          <w:iCs w:val="1"/>
          <w:color w:val="auto"/>
        </w:rPr>
        <w:t>Our target market consists of companies that combine experienced management and an emphasis on rapid growth in large markets.</w:t>
      </w:r>
    </w:p>
    <w:p>
      <w:pPr>
        <w:spacing w:after="0" w:line="103" w:lineRule="exact"/>
        <w:rPr>
          <w:sz w:val="20"/>
          <w:szCs w:val="20"/>
          <w:color w:val="auto"/>
        </w:rPr>
      </w:pPr>
    </w:p>
    <w:p>
      <w:pPr>
        <w:jc w:val="both"/>
        <w:ind w:left="1260" w:right="679" w:firstLine="360"/>
        <w:spacing w:after="0" w:line="284" w:lineRule="auto"/>
        <w:rPr>
          <w:sz w:val="20"/>
          <w:szCs w:val="20"/>
          <w:color w:val="auto"/>
        </w:rPr>
      </w:pPr>
      <w:r>
        <w:rPr>
          <w:rFonts w:ascii="Arial" w:cs="Arial" w:eastAsia="Arial" w:hAnsi="Arial"/>
          <w:sz w:val="16"/>
          <w:szCs w:val="16"/>
          <w:i w:val="1"/>
          <w:iCs w:val="1"/>
          <w:color w:val="auto"/>
        </w:rPr>
        <w:t xml:space="preserve">Diversified high growth-potential industries: </w:t>
      </w:r>
      <w:r>
        <w:rPr>
          <w:rFonts w:ascii="Arial" w:cs="Arial" w:eastAsia="Arial" w:hAnsi="Arial"/>
          <w:sz w:val="16"/>
          <w:szCs w:val="16"/>
          <w:color w:val="auto"/>
        </w:rPr>
        <w:t>We target companies active in industries that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extremely rapid growth. Our Sponsored Growth Lending strategy is focused on industry sectors where venture capital investors are active, primarily technology, life sciences, healthcare information and services, business services and other high-growth industries. High-potential companies in sectors such as technology, life sciences,</w:t>
      </w:r>
    </w:p>
    <w:p>
      <w:pPr>
        <w:spacing w:after="0" w:line="33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55" w:lineRule="auto"/>
        <w:rPr>
          <w:sz w:val="20"/>
          <w:szCs w:val="20"/>
          <w:color w:val="auto"/>
        </w:rPr>
      </w:pPr>
      <w:r>
        <w:rPr>
          <w:rFonts w:ascii="Arial" w:cs="Arial" w:eastAsia="Arial" w:hAnsi="Arial"/>
          <w:sz w:val="17"/>
          <w:szCs w:val="17"/>
          <w:color w:val="auto"/>
        </w:rPr>
        <w:t>healthcare information and services and business services represent a large and fast-growing sector of the U.S. economy. This sector’s continued growth is supported by ongoing innovation and performance improvements in specific products as well as the adoption of innovative technologies and services across virtually all industries in response to competitive pressures. Term debt has been used by many of the largest, most successful venture-backed companies. For example, both Google and Facebook utilized term debt in their capital structures. Our Non-Sponsored Growth Lending strategy is not targeted at any specific industry sector, although we do intend to avoid restaurants, retail and real estate.</w:t>
      </w:r>
    </w:p>
    <w:p>
      <w:pPr>
        <w:spacing w:after="0" w:line="99" w:lineRule="exact"/>
        <w:rPr>
          <w:sz w:val="20"/>
          <w:szCs w:val="20"/>
          <w:color w:val="auto"/>
        </w:rPr>
      </w:pPr>
    </w:p>
    <w:p>
      <w:pPr>
        <w:jc w:val="both"/>
        <w:ind w:left="1260" w:right="679" w:firstLine="360"/>
        <w:spacing w:after="0" w:line="241" w:lineRule="auto"/>
        <w:rPr>
          <w:sz w:val="20"/>
          <w:szCs w:val="20"/>
          <w:color w:val="auto"/>
        </w:rPr>
      </w:pPr>
      <w:r>
        <w:rPr>
          <w:rFonts w:ascii="Arial" w:cs="Arial" w:eastAsia="Arial" w:hAnsi="Arial"/>
          <w:sz w:val="18"/>
          <w:szCs w:val="18"/>
          <w:i w:val="1"/>
          <w:iCs w:val="1"/>
          <w:color w:val="auto"/>
        </w:rPr>
        <w:t xml:space="preserve">Sponsored Growth Lending: </w:t>
      </w:r>
      <w:r>
        <w:rPr>
          <w:rFonts w:ascii="Arial" w:cs="Arial" w:eastAsia="Arial" w:hAnsi="Arial"/>
          <w:sz w:val="18"/>
          <w:szCs w:val="18"/>
          <w:color w:val="auto"/>
        </w:rPr>
        <w:t>An attractive market opportunity exists for a lender that invests in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loans to high-potential companies that have not yet achieved profitability as there are strong incentives for borrowers and lenders in this market to transact with one another. Sponsored growth lending provides an attractive source of funds for venture-backed companies, their management teams, and their equity capital investors, as it:</w:t>
      </w:r>
    </w:p>
    <w:p>
      <w:pPr>
        <w:spacing w:after="0" w:line="81" w:lineRule="exact"/>
        <w:rPr>
          <w:sz w:val="20"/>
          <w:szCs w:val="20"/>
          <w:color w:val="auto"/>
        </w:rPr>
      </w:pPr>
    </w:p>
    <w:p>
      <w:pPr>
        <w:ind w:left="1800" w:hanging="178"/>
        <w:spacing w:after="0"/>
        <w:tabs>
          <w:tab w:leader="none" w:pos="1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is typically less dilutive and complements equity financing from venture capital and private equity funds;</w:t>
      </w:r>
    </w:p>
    <w:p>
      <w:pPr>
        <w:spacing w:after="0" w:line="140" w:lineRule="exact"/>
        <w:rPr>
          <w:rFonts w:ascii="Arial" w:cs="Arial" w:eastAsia="Arial" w:hAnsi="Arial"/>
          <w:sz w:val="16"/>
          <w:szCs w:val="16"/>
          <w:color w:val="auto"/>
        </w:rPr>
      </w:pPr>
    </w:p>
    <w:p>
      <w:pPr>
        <w:ind w:left="1800" w:right="679" w:hanging="178"/>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extends the time period during which a company can operate before seeking additional equity capital or pursuing a sale transaction or other liquidity event; and</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allows companies to better match cash sources with uses.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Potential benefits to sponsored growth lenders include:</w:t>
      </w:r>
    </w:p>
    <w:p>
      <w:pPr>
        <w:spacing w:after="0" w:line="104" w:lineRule="exact"/>
        <w:rPr>
          <w:sz w:val="20"/>
          <w:szCs w:val="20"/>
          <w:color w:val="auto"/>
        </w:rPr>
      </w:pPr>
    </w:p>
    <w:p>
      <w:pPr>
        <w:ind w:left="1800" w:right="679" w:hanging="178"/>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loan support in the form of cash proceeds from equity capital invested by venture capital and private equity firms with the goal of building enterprise value;</w:t>
      </w:r>
    </w:p>
    <w:p>
      <w:pPr>
        <w:spacing w:after="0" w:line="62" w:lineRule="exact"/>
        <w:rPr>
          <w:rFonts w:ascii="Arial" w:cs="Arial" w:eastAsia="Arial" w:hAnsi="Arial"/>
          <w:sz w:val="18"/>
          <w:szCs w:val="18"/>
          <w:color w:val="auto"/>
        </w:rPr>
      </w:pPr>
    </w:p>
    <w:p>
      <w:pPr>
        <w:jc w:val="both"/>
        <w:ind w:left="1800" w:right="679" w:hanging="178"/>
        <w:spacing w:after="0" w:line="263"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rates that are usually higher than rates portfolio companies could secure if they could borrow from commercial financing institutions, which normally require asset coverage and operating cash flow covenants;</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relatively rapid amortization of loans;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senior ranking to equity and collateralization of loans to minimize potential loss of capital;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equity appreciation through warrants.</w:t>
      </w:r>
    </w:p>
    <w:p>
      <w:pPr>
        <w:spacing w:after="0" w:line="158" w:lineRule="exact"/>
        <w:rPr>
          <w:sz w:val="20"/>
          <w:szCs w:val="20"/>
          <w:color w:val="auto"/>
        </w:rPr>
      </w:pPr>
    </w:p>
    <w:p>
      <w:pPr>
        <w:jc w:val="both"/>
        <w:ind w:left="1260" w:right="679" w:firstLine="360"/>
        <w:spacing w:after="0" w:line="243" w:lineRule="auto"/>
        <w:rPr>
          <w:sz w:val="20"/>
          <w:szCs w:val="20"/>
          <w:color w:val="auto"/>
        </w:rPr>
      </w:pPr>
      <w:r>
        <w:rPr>
          <w:rFonts w:ascii="Arial" w:cs="Arial" w:eastAsia="Arial" w:hAnsi="Arial"/>
          <w:sz w:val="18"/>
          <w:szCs w:val="18"/>
          <w:i w:val="1"/>
          <w:iCs w:val="1"/>
          <w:color w:val="auto"/>
        </w:rPr>
        <w:t xml:space="preserve">Non-Sponsored Growth Lending: </w:t>
      </w:r>
      <w:r>
        <w:rPr>
          <w:rFonts w:ascii="Arial" w:cs="Arial" w:eastAsia="Arial" w:hAnsi="Arial"/>
          <w:sz w:val="18"/>
          <w:szCs w:val="18"/>
          <w:color w:val="auto"/>
        </w:rPr>
        <w:t>An attractive market opportunity exists for a lender that invests in</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loans to high-potential companies that are growing rapidly, have reached profitability and need long-term growth capital but do not want the complications that come with selling equity to venture capital or private equity firms.</w:t>
      </w:r>
    </w:p>
    <w:p>
      <w:pPr>
        <w:spacing w:after="0" w:line="107" w:lineRule="exact"/>
        <w:rPr>
          <w:sz w:val="20"/>
          <w:szCs w:val="20"/>
          <w:color w:val="auto"/>
        </w:rPr>
      </w:pPr>
    </w:p>
    <w:p>
      <w:pPr>
        <w:jc w:val="both"/>
        <w:ind w:left="1260" w:right="679" w:firstLine="360"/>
        <w:spacing w:after="0" w:line="324" w:lineRule="auto"/>
        <w:rPr>
          <w:sz w:val="20"/>
          <w:szCs w:val="20"/>
          <w:color w:val="auto"/>
        </w:rPr>
      </w:pPr>
      <w:r>
        <w:rPr>
          <w:rFonts w:ascii="Arial" w:cs="Arial" w:eastAsia="Arial" w:hAnsi="Arial"/>
          <w:sz w:val="16"/>
          <w:szCs w:val="16"/>
          <w:color w:val="auto"/>
        </w:rPr>
        <w:t>Non-sponsored growth lending provides an attractive alternative to equity capital as a source of funds for non-sponsored, high-potential, fast-growing companies, as it provides all or some of the following benefits:</w:t>
      </w:r>
    </w:p>
    <w:p>
      <w:pPr>
        <w:spacing w:after="0" w:line="16" w:lineRule="exact"/>
        <w:rPr>
          <w:sz w:val="20"/>
          <w:szCs w:val="20"/>
          <w:color w:val="auto"/>
        </w:rPr>
      </w:pPr>
    </w:p>
    <w:p>
      <w:pPr>
        <w:ind w:left="1800" w:right="67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access to growth capital without the requirement to take on institutional-size investments that may exceed the company’s capital requirements;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deductible interest payments;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significant operational involvement;</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personal guarantees;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very modest dilution, if any;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loss of managerial control or forced redemption.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 Market Dynamics Creating More Opportunities for Sponsored Growth Lending</w:t>
      </w:r>
    </w:p>
    <w:p>
      <w:pPr>
        <w:spacing w:after="0" w:line="144" w:lineRule="exact"/>
        <w:rPr>
          <w:sz w:val="20"/>
          <w:szCs w:val="20"/>
          <w:color w:val="auto"/>
        </w:rPr>
      </w:pPr>
    </w:p>
    <w:p>
      <w:pPr>
        <w:jc w:val="both"/>
        <w:ind w:left="1260" w:right="679" w:firstLine="360"/>
        <w:spacing w:after="0" w:line="279" w:lineRule="auto"/>
        <w:rPr>
          <w:sz w:val="20"/>
          <w:szCs w:val="20"/>
          <w:color w:val="auto"/>
        </w:rPr>
      </w:pPr>
      <w:r>
        <w:rPr>
          <w:rFonts w:ascii="Arial" w:cs="Arial" w:eastAsia="Arial" w:hAnsi="Arial"/>
          <w:sz w:val="16"/>
          <w:szCs w:val="16"/>
          <w:i w:val="1"/>
          <w:iCs w:val="1"/>
          <w:color w:val="auto"/>
        </w:rPr>
        <w:t xml:space="preserve">Healthy, stable venture environment: </w:t>
      </w:r>
      <w:r>
        <w:rPr>
          <w:rFonts w:ascii="Arial" w:cs="Arial" w:eastAsia="Arial" w:hAnsi="Arial"/>
          <w:sz w:val="16"/>
          <w:szCs w:val="16"/>
          <w:color w:val="auto"/>
        </w:rPr>
        <w:t>The number of companies receiving venture capital financing in 2019</w:t>
      </w:r>
      <w:r>
        <w:rPr>
          <w:rFonts w:ascii="Arial" w:cs="Arial" w:eastAsia="Arial" w:hAnsi="Arial"/>
          <w:sz w:val="16"/>
          <w:szCs w:val="16"/>
          <w:i w:val="1"/>
          <w:iCs w:val="1"/>
          <w:color w:val="auto"/>
        </w:rPr>
        <w:t xml:space="preserve"> </w:t>
      </w:r>
      <w:r>
        <w:rPr>
          <w:rFonts w:ascii="Arial" w:cs="Arial" w:eastAsia="Arial" w:hAnsi="Arial"/>
          <w:sz w:val="16"/>
          <w:szCs w:val="16"/>
          <w:color w:val="auto"/>
        </w:rPr>
        <w:t>was 10,777, according to the National Venture Capital Association (“NVCA”), and roughly 25.7% of these transactions were first-round financings. The number of financings has averaged over 9,200 for the past ten years, and during this period approximately one-third of these transactions were first time financings. The annual level of venture investment since 2002 has generally been in the $20- to $40- billion range with a</w:t>
      </w:r>
    </w:p>
    <w:p>
      <w:pPr>
        <w:spacing w:after="0" w:line="34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43" w:lineRule="auto"/>
        <w:rPr>
          <w:sz w:val="20"/>
          <w:szCs w:val="20"/>
          <w:color w:val="auto"/>
        </w:rPr>
      </w:pPr>
      <w:r>
        <w:rPr>
          <w:rFonts w:ascii="Arial" w:cs="Arial" w:eastAsia="Arial" w:hAnsi="Arial"/>
          <w:sz w:val="17"/>
          <w:szCs w:val="17"/>
          <w:color w:val="auto"/>
        </w:rPr>
        <w:t>significant increase to $71.0 billion in 2014. Increased venture investment has continued to trend upward since 2014. Venture investment totaled $83.8 billion in 2015, $77.6 billion in 2016, and $86.8 billion in 2017. The market saw a record high of $140.2 billion in 2018 while 2019 saw a slight decrease, with $136.5 billion in venture investment. Despite the slight decrease, there is evidence of a healthy, stable venture environment where venture capital investment is consistently flowing into high-potential, technology-related companies. The significant increase in investment amounts in 2014 – 2019 is largely the result of growth investments in later-stage companies that are staying private longer. The sponsored growth lending market is estimated to be one-seventh of venture investment activity in any given year, translating to a market for loan origination of over $18 billion based on an average year of venture funding of approximately $130 billion.</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We believe that these statistics validate a substantial market opportunity and simultaneously support availability of capital for repayment. Based on our experience, many sponsored-growth loans are repaid from proceeds of new venture-equity financing.</w:t>
      </w:r>
    </w:p>
    <w:p>
      <w:pPr>
        <w:spacing w:after="0" w:line="110" w:lineRule="exact"/>
        <w:rPr>
          <w:sz w:val="20"/>
          <w:szCs w:val="20"/>
          <w:color w:val="auto"/>
        </w:rPr>
      </w:pPr>
    </w:p>
    <w:p>
      <w:pPr>
        <w:jc w:val="both"/>
        <w:ind w:left="1260" w:right="679" w:firstLine="360"/>
        <w:spacing w:after="0" w:line="239" w:lineRule="auto"/>
        <w:rPr>
          <w:sz w:val="20"/>
          <w:szCs w:val="20"/>
          <w:color w:val="auto"/>
        </w:rPr>
      </w:pPr>
      <w:r>
        <w:rPr>
          <w:rFonts w:ascii="Arial" w:cs="Arial" w:eastAsia="Arial" w:hAnsi="Arial"/>
          <w:sz w:val="17"/>
          <w:szCs w:val="17"/>
          <w:i w:val="1"/>
          <w:iCs w:val="1"/>
          <w:color w:val="auto"/>
        </w:rPr>
        <w:t xml:space="preserve">Growing pool of target companies: </w:t>
      </w:r>
      <w:r>
        <w:rPr>
          <w:rFonts w:ascii="Arial" w:cs="Arial" w:eastAsia="Arial" w:hAnsi="Arial"/>
          <w:sz w:val="17"/>
          <w:szCs w:val="17"/>
          <w:color w:val="auto"/>
        </w:rPr>
        <w:t>The average time from initial venture capital investment to exit, either</w:t>
      </w:r>
      <w:r>
        <w:rPr>
          <w:rFonts w:ascii="Arial" w:cs="Arial" w:eastAsia="Arial" w:hAnsi="Arial"/>
          <w:sz w:val="17"/>
          <w:szCs w:val="17"/>
          <w:i w:val="1"/>
          <w:iCs w:val="1"/>
          <w:color w:val="auto"/>
        </w:rPr>
        <w:t xml:space="preserve"> </w:t>
      </w:r>
      <w:r>
        <w:rPr>
          <w:rFonts w:ascii="Arial" w:cs="Arial" w:eastAsia="Arial" w:hAnsi="Arial"/>
          <w:sz w:val="17"/>
          <w:szCs w:val="17"/>
          <w:color w:val="auto"/>
        </w:rPr>
        <w:t>by IPO or M&amp;A transaction, has lengthened considerably. According to the NVCA 2015 Yearbook, in 1998 the average number of years from initial venture investment to IPO of a U.S. venture capital-backed company was approximately three years; that number has steadily increased and has been approximately eight years since 2012.</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According to the 2019 Pitchbook NVCA Q4-2019 Venture Monitor, the median time to exit is now 5.5 years. Exits are a small (10 – 15%) proportion of companies financed by venture capital each year. As a result, the pool of target companies has grown larger.</w:t>
      </w:r>
    </w:p>
    <w:p>
      <w:pPr>
        <w:spacing w:after="0" w:line="125"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7"/>
          <w:szCs w:val="17"/>
          <w:i w:val="1"/>
          <w:iCs w:val="1"/>
          <w:color w:val="auto"/>
        </w:rPr>
        <w:t xml:space="preserve">Venture investment consistently outstripping venture commitments: </w:t>
      </w:r>
      <w:r>
        <w:rPr>
          <w:rFonts w:ascii="Arial" w:cs="Arial" w:eastAsia="Arial" w:hAnsi="Arial"/>
          <w:sz w:val="17"/>
          <w:szCs w:val="17"/>
          <w:color w:val="auto"/>
        </w:rPr>
        <w:t>According to the NVCA, in 2019,</w:t>
      </w:r>
      <w:r>
        <w:rPr>
          <w:rFonts w:ascii="Arial" w:cs="Arial" w:eastAsia="Arial" w:hAnsi="Arial"/>
          <w:sz w:val="17"/>
          <w:szCs w:val="17"/>
          <w:i w:val="1"/>
          <w:iCs w:val="1"/>
          <w:color w:val="auto"/>
        </w:rPr>
        <w:t xml:space="preserve"> </w:t>
      </w:r>
      <w:r>
        <w:rPr>
          <w:rFonts w:ascii="Arial" w:cs="Arial" w:eastAsia="Arial" w:hAnsi="Arial"/>
          <w:sz w:val="17"/>
          <w:szCs w:val="17"/>
          <w:color w:val="auto"/>
        </w:rPr>
        <w:t>$46 billion was raised by 259 funds, compared to $137 billion invested in the same year. 2019 was the fourteenth year in which more money was invested by the industry than raised in new commitments. This dynamic has created strong interest in raising new venture funds; however, the fact that companies receiving venture equity investment have taken longer to achieve liquidity than similar companies a decade earlier has led to cautious investing, as traditional investors in limited partnership funds are hesitant to commit to new funds until older commitments are returned. As a result, venture capital firms continue to supplement portfolio company equity with sponsored growth lending. Sponsored growth lending is now a valued component in the capital structure of most venture-backed companies.</w:t>
      </w:r>
    </w:p>
    <w:p>
      <w:pPr>
        <w:spacing w:after="0" w:line="113" w:lineRule="exact"/>
        <w:rPr>
          <w:sz w:val="20"/>
          <w:szCs w:val="20"/>
          <w:color w:val="auto"/>
        </w:rPr>
      </w:pPr>
    </w:p>
    <w:p>
      <w:pPr>
        <w:jc w:val="both"/>
        <w:ind w:left="1260" w:right="679" w:firstLine="360"/>
        <w:spacing w:after="0" w:line="271" w:lineRule="auto"/>
        <w:rPr>
          <w:sz w:val="20"/>
          <w:szCs w:val="20"/>
          <w:color w:val="auto"/>
        </w:rPr>
      </w:pPr>
      <w:r>
        <w:rPr>
          <w:rFonts w:ascii="Arial" w:cs="Arial" w:eastAsia="Arial" w:hAnsi="Arial"/>
          <w:sz w:val="17"/>
          <w:szCs w:val="17"/>
          <w:i w:val="1"/>
          <w:iCs w:val="1"/>
          <w:color w:val="auto"/>
        </w:rPr>
        <w:t xml:space="preserve">Limited competition: </w:t>
      </w:r>
      <w:r>
        <w:rPr>
          <w:rFonts w:ascii="Arial" w:cs="Arial" w:eastAsia="Arial" w:hAnsi="Arial"/>
          <w:sz w:val="17"/>
          <w:szCs w:val="17"/>
          <w:color w:val="auto"/>
        </w:rPr>
        <w:t>Many viable venture-backed companies have been unable to obtain sufficient growth</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from 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coverages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 largely do not apply to these companies.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jc w:val="both"/>
        <w:ind w:left="1260" w:right="679" w:firstLine="360"/>
        <w:spacing w:after="0" w:line="288" w:lineRule="auto"/>
        <w:rPr>
          <w:sz w:val="20"/>
          <w:szCs w:val="20"/>
          <w:color w:val="auto"/>
        </w:rPr>
      </w:pPr>
      <w:r>
        <w:rPr>
          <w:rFonts w:ascii="Arial" w:cs="Arial" w:eastAsia="Arial" w:hAnsi="Arial"/>
          <w:sz w:val="16"/>
          <w:szCs w:val="16"/>
          <w:color w:val="auto"/>
        </w:rPr>
        <w:t>Our primary competitors for investments include public and private funds, other BDCs, commercial and investment banks, venture-oriented commercial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qualify and maintain our qualification as a RIC. We do not compete primarily on the financing terms we offer and believe that some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55880</wp:posOffset>
            </wp:positionV>
            <wp:extent cx="1234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3" w:lineRule="exact"/>
        <w:rPr>
          <w:sz w:val="20"/>
          <w:szCs w:val="20"/>
          <w:color w:val="auto"/>
        </w:rPr>
      </w:pPr>
    </w:p>
    <w:p>
      <w:pPr>
        <w:ind w:left="1620" w:right="679" w:hanging="358"/>
        <w:spacing w:after="0" w:line="207" w:lineRule="auto"/>
        <w:tabs>
          <w:tab w:leader="none" w:pos="162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 xml:space="preserve">Timo Fischer &amp; Gaétan de Rassenfosse, </w:t>
      </w:r>
      <w:r>
        <w:rPr>
          <w:rFonts w:ascii="Arial" w:cs="Arial" w:eastAsia="Arial" w:hAnsi="Arial"/>
          <w:sz w:val="18"/>
          <w:szCs w:val="18"/>
          <w:i w:val="1"/>
          <w:iCs w:val="1"/>
          <w:color w:val="auto"/>
        </w:rPr>
        <w:t>Venture Debt Financing: Determinants of the Lending Decision</w:t>
      </w:r>
      <w:r>
        <w:rPr>
          <w:rFonts w:ascii="Arial" w:cs="Arial" w:eastAsia="Arial" w:hAnsi="Arial"/>
          <w:sz w:val="18"/>
          <w:szCs w:val="18"/>
          <w:color w:val="auto"/>
        </w:rPr>
        <w:t>, at 8 (Oct. 12, 2012), available at http://ssrn.com/abstract=1909602.</w:t>
      </w:r>
    </w:p>
    <w:p>
      <w:pPr>
        <w:spacing w:after="0" w:line="41" w:lineRule="exact"/>
        <w:rPr>
          <w:sz w:val="20"/>
          <w:szCs w:val="20"/>
          <w:color w:val="auto"/>
        </w:rPr>
      </w:pPr>
    </w:p>
    <w:p>
      <w:pPr>
        <w:ind w:left="1620" w:hanging="358"/>
        <w:spacing w:after="0"/>
        <w:tabs>
          <w:tab w:leader="none" w:pos="1620"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Nat’l Venture Capital Association, 2015 National Venture Capital Association Yearbook.</w:t>
      </w:r>
    </w:p>
    <w:p>
      <w:pPr>
        <w:sectPr>
          <w:pgSz w:w="11900" w:h="16838" w:orient="portrait"/>
          <w:cols w:equalWidth="0" w:num="1">
            <w:col w:w="10139"/>
          </w:cols>
          <w:pgMar w:left="320" w:top="132" w:right="1440" w:bottom="1440" w:gutter="0" w:footer="0" w:header="0"/>
        </w:sectPr>
      </w:pPr>
    </w:p>
    <w:p>
      <w:pPr>
        <w:spacing w:after="0" w:line="39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53" w:lineRule="auto"/>
        <w:rPr>
          <w:sz w:val="20"/>
          <w:szCs w:val="20"/>
          <w:color w:val="auto"/>
        </w:rPr>
      </w:pPr>
      <w:r>
        <w:rPr>
          <w:rFonts w:ascii="Arial" w:cs="Arial" w:eastAsia="Arial" w:hAnsi="Arial"/>
          <w:sz w:val="17"/>
          <w:szCs w:val="17"/>
          <w:color w:val="auto"/>
        </w:rPr>
        <w:t>make loans with rates that are comparable to or lower than our rates. We also believe that our relationship-based approach to investing, which leverages the expertise of the Investment Committee in developing strong relationships with venture capital investors and venture capital-backed companies, helps us to assess investment risks and determine appropriate pricing for our investments in portfolio companies. In addition, we expect that the relationships of RGC’s senior investment professionals will enable us to learn about, and compete effectively for, financing opportunities with attractive companies in the industries in which we seek to invest. For additional information concerning the competitive risks we face, see “Risk Factors — Risks Related to Our Business and Structure — We operate in a highly competitive market for investment opportunities and we may not be able to compete effectively.” in Part I, Item 1A of this Form 10-K.</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 Reinvestment Plan</w:t>
      </w:r>
    </w:p>
    <w:p>
      <w:pPr>
        <w:spacing w:after="0" w:line="148" w:lineRule="exact"/>
        <w:rPr>
          <w:sz w:val="20"/>
          <w:szCs w:val="20"/>
          <w:color w:val="auto"/>
        </w:rPr>
      </w:pPr>
    </w:p>
    <w:p>
      <w:pPr>
        <w:jc w:val="both"/>
        <w:ind w:left="1260" w:right="659" w:firstLine="360"/>
        <w:spacing w:after="0"/>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of adopting such a plan, if our Board of Directors authorizes, and we declare, a cash dividend or distribution, our stockholders who have not opted out of our dividend reinvestment plan will have their cash dividends or distributions automatically reinvested in additional shares of our common stock, rather than receiving cash.</w:t>
      </w:r>
    </w:p>
    <w:p>
      <w:pPr>
        <w:spacing w:after="0" w:line="122"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7"/>
          <w:szCs w:val="17"/>
          <w:color w:val="auto"/>
        </w:rPr>
        <w:t>No action will be required on the part of a registered stockholder to have his or her cash dividends and distributions reinvested in shares of our common stock. A registered stockholder could instead elect to receive a dividend or distribution in cash by notifying RGC in writing, so that such notice is received by RGC no later than ten days prior to the record date for distributions to the stockholders. RGC will set up an account for shares of our common stock acquired through the plan for each stockholder who does not elect to receive dividends and distributions in cash and hold such shares in non-certificated form. Those stockholders whose shares are held by a broker or other financial intermediary could receive dividends and distributions in cash by notifying their broker or other financial intermediary of their election.</w:t>
      </w:r>
    </w:p>
    <w:p>
      <w:pPr>
        <w:spacing w:after="0" w:line="113" w:lineRule="exact"/>
        <w:rPr>
          <w:sz w:val="20"/>
          <w:szCs w:val="20"/>
          <w:color w:val="auto"/>
        </w:rPr>
      </w:pPr>
    </w:p>
    <w:p>
      <w:pPr>
        <w:jc w:val="both"/>
        <w:ind w:left="1260" w:right="659" w:firstLine="360"/>
        <w:spacing w:after="0" w:line="237" w:lineRule="auto"/>
        <w:rPr>
          <w:sz w:val="20"/>
          <w:szCs w:val="20"/>
          <w:color w:val="auto"/>
        </w:rPr>
      </w:pPr>
      <w:r>
        <w:rPr>
          <w:rFonts w:ascii="Arial" w:cs="Arial" w:eastAsia="Arial" w:hAnsi="Arial"/>
          <w:sz w:val="18"/>
          <w:szCs w:val="18"/>
          <w:color w:val="auto"/>
        </w:rPr>
        <w:t>Stockholders who receive dividends and distributions in the form of stock are generally subject to the same U.S. federal, state and local tax consequences as are stockholders who elect to receive their dividends and distributions in cash. However, since a participating stockholder’s cash dividends and distributions will be reinvested in our common stock, such stockholder will not receive cash with which to pay applicable taxes on reinvested dividends and distributions. A stockholder’s basis for determining gain or loss upon the sale of stock received in a dividend or distribution from us will generally be equal to the cash that would have been received if the stockholder had received the dividend or distribution in cash, unless we were to issue new shares that are trading at or above net asset value, in which case, the stockholder’s basis in the new shares will generally be equal to their fair market value. Any stock received in a dividend or distribution will have a new holding period for tax purposes commencing on the day following the day on which the shares are credited to the U.S. stockholder’s account.</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Staffing</w:t>
      </w:r>
    </w:p>
    <w:p>
      <w:pPr>
        <w:spacing w:after="0" w:line="148" w:lineRule="exact"/>
        <w:rPr>
          <w:sz w:val="20"/>
          <w:szCs w:val="20"/>
          <w:color w:val="auto"/>
        </w:rPr>
      </w:pPr>
    </w:p>
    <w:p>
      <w:pPr>
        <w:jc w:val="both"/>
        <w:ind w:left="1260" w:right="679" w:firstLine="360"/>
        <w:spacing w:after="0" w:line="239" w:lineRule="auto"/>
        <w:rPr>
          <w:sz w:val="20"/>
          <w:szCs w:val="20"/>
          <w:color w:val="auto"/>
        </w:rPr>
      </w:pPr>
      <w:r>
        <w:rPr>
          <w:rFonts w:ascii="Arial" w:cs="Arial" w:eastAsia="Arial" w:hAnsi="Arial"/>
          <w:sz w:val="18"/>
          <w:szCs w:val="18"/>
          <w:color w:val="auto"/>
        </w:rPr>
        <w:t>We do not currently have any employees. R. David Spreng, our President, Chief Executive Officer and Chairman of our Board of Directors, is also the founder, President, Chief Executive Officer and Chief Investment Officer of RGC. Thomas B. Raterman is our Chief Financial Officer, Treasurer, and Secretary, and serves as the Chief Financial Officer of RGC. Our Chief Financial Officer performs his functions for us under the terms of our Administration Agreement. We have also retained Carl M. Rizzo of Alaric Compliance Services LLC to serve as our Chief Compliance Officer pursuant to an agreement with Alaric Compliance Services LLC. Mr. Rizzo also serves as the Chief Compliance Officer for RGC.</w:t>
      </w:r>
    </w:p>
    <w:p>
      <w:pPr>
        <w:spacing w:after="0" w:line="123" w:lineRule="exact"/>
        <w:rPr>
          <w:sz w:val="20"/>
          <w:szCs w:val="20"/>
          <w:color w:val="auto"/>
        </w:rPr>
      </w:pPr>
    </w:p>
    <w:p>
      <w:pPr>
        <w:jc w:val="both"/>
        <w:ind w:left="1260" w:right="679" w:firstLine="360"/>
        <w:spacing w:after="0" w:line="243" w:lineRule="auto"/>
        <w:rPr>
          <w:sz w:val="20"/>
          <w:szCs w:val="20"/>
          <w:color w:val="auto"/>
        </w:rPr>
      </w:pPr>
      <w:r>
        <w:rPr>
          <w:rFonts w:ascii="Arial" w:cs="Arial" w:eastAsia="Arial" w:hAnsi="Arial"/>
          <w:sz w:val="18"/>
          <w:szCs w:val="18"/>
          <w:color w:val="auto"/>
        </w:rPr>
        <w:t>Our day-to-day investment and administrative operations are managed by RGC and our Administrator. The Investment Committee is supported by a team of additional experienced investment professionals. RGC and our Administrator may hire additional investment and administrative professionals in the future to provide services to us, based upon our needs.</w:t>
      </w:r>
    </w:p>
    <w:p>
      <w:pPr>
        <w:spacing w:after="0" w:line="120"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7"/>
          <w:szCs w:val="17"/>
          <w:color w:val="auto"/>
        </w:rPr>
        <w:t>In addition, we reimburse the Administrator for its costs and expenses and our allocable portion of overhead incurred by it in performing its obligations under the Administration Agreement, including compensation paid to or compensatory distributions received by our officers (including our Chief Compliance</w:t>
      </w:r>
    </w:p>
    <w:p>
      <w:pPr>
        <w:spacing w:after="0" w:line="3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86" w:lineRule="auto"/>
        <w:rPr>
          <w:sz w:val="20"/>
          <w:szCs w:val="20"/>
          <w:color w:val="auto"/>
        </w:rPr>
      </w:pPr>
      <w:r>
        <w:rPr>
          <w:rFonts w:ascii="Arial" w:cs="Arial" w:eastAsia="Arial" w:hAnsi="Arial"/>
          <w:sz w:val="17"/>
          <w:szCs w:val="17"/>
          <w:color w:val="auto"/>
        </w:rPr>
        <w:t>Officer and Chief Financial Officer) and any of their respective staff who provide services to us, operations staff who provide services to us, and any internal audit staff, to the extent internal audit performs a role in our internal control assessment under Sarbanes-Oxley Act of 2002, as amended (the “Sarbanes-Oxley Act”).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48" w:lineRule="exact"/>
        <w:rPr>
          <w:sz w:val="20"/>
          <w:szCs w:val="20"/>
          <w:color w:val="auto"/>
        </w:rPr>
      </w:pPr>
    </w:p>
    <w:p>
      <w:pPr>
        <w:jc w:val="both"/>
        <w:ind w:left="1260" w:right="679" w:firstLine="360"/>
        <w:spacing w:after="0" w:line="277" w:lineRule="auto"/>
        <w:rPr>
          <w:sz w:val="20"/>
          <w:szCs w:val="20"/>
          <w:color w:val="auto"/>
        </w:rPr>
      </w:pPr>
      <w:r>
        <w:rPr>
          <w:rFonts w:ascii="Arial" w:cs="Arial" w:eastAsia="Arial" w:hAnsi="Arial"/>
          <w:sz w:val="18"/>
          <w:szCs w:val="18"/>
          <w:color w:val="auto"/>
        </w:rPr>
        <w:t>We currently are, and expect to remain, an “emerging growth company,” as that term is used in the JOBS Act until the earliest of:</w:t>
      </w:r>
    </w:p>
    <w:p>
      <w:pPr>
        <w:spacing w:after="0" w:line="76" w:lineRule="exact"/>
        <w:rPr>
          <w:sz w:val="20"/>
          <w:szCs w:val="20"/>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our fiscal year following the fifth anniversary of IPO, if any;</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last day of the first fiscal year in which our annual gross revenues of $1,070,000,000 or more;</w:t>
      </w:r>
    </w:p>
    <w:p>
      <w:pPr>
        <w:spacing w:after="0" w:line="128" w:lineRule="exact"/>
        <w:rPr>
          <w:rFonts w:ascii="Arial" w:cs="Arial" w:eastAsia="Arial" w:hAnsi="Arial"/>
          <w:sz w:val="17"/>
          <w:szCs w:val="17"/>
          <w:color w:val="auto"/>
        </w:rPr>
      </w:pPr>
    </w:p>
    <w:p>
      <w:pPr>
        <w:ind w:left="1800" w:right="679" w:hanging="178"/>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we have, during the preceding three-year period, issued more than $1.0 billion in non-convertible debt; and</w:t>
      </w:r>
    </w:p>
    <w:p>
      <w:pPr>
        <w:spacing w:after="0" w:line="62" w:lineRule="exact"/>
        <w:rPr>
          <w:rFonts w:ascii="Arial" w:cs="Arial" w:eastAsia="Arial" w:hAnsi="Arial"/>
          <w:sz w:val="18"/>
          <w:szCs w:val="18"/>
          <w:color w:val="auto"/>
        </w:rPr>
      </w:pPr>
    </w:p>
    <w:p>
      <w:pPr>
        <w:jc w:val="both"/>
        <w:ind w:left="1800" w:right="679" w:hanging="178"/>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the common stock that is held by non-affiliates exceeds $700 million as of any June 30.</w:t>
      </w:r>
    </w:p>
    <w:p>
      <w:pPr>
        <w:spacing w:after="0" w:line="116" w:lineRule="exact"/>
        <w:rPr>
          <w:sz w:val="20"/>
          <w:szCs w:val="20"/>
          <w:color w:val="auto"/>
        </w:rPr>
      </w:pPr>
    </w:p>
    <w:p>
      <w:pPr>
        <w:jc w:val="both"/>
        <w:ind w:left="1260" w:right="679" w:firstLine="360"/>
        <w:spacing w:after="0" w:line="271" w:lineRule="auto"/>
        <w:rPr>
          <w:sz w:val="20"/>
          <w:szCs w:val="20"/>
          <w:color w:val="auto"/>
        </w:rPr>
      </w:pPr>
      <w:r>
        <w:rPr>
          <w:rFonts w:ascii="Arial" w:cs="Arial" w:eastAsia="Arial" w:hAnsi="Arial"/>
          <w:sz w:val="17"/>
          <w:szCs w:val="17"/>
          <w:color w:val="auto"/>
        </w:rPr>
        <w:t>Under the JOBS Act, we are exempt from the provisions of Section 404(b) of the Sarbanes-Oxley Act, which would require that our independent registered public accounting firm provide an attestation report on the effectiveness of our internal control over financial reporting. This may increase the risk that material weaknesses or other deficiencies in our internal control over financial reporting go undetected. See Part I, Item 1A of this Form 10-K “Risk Factors — Risks Related to Our Business and Structure — 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62"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The following discussion is a general summary of the material U.S. federal income tax considerations applicable to us and to an investment in shares of our common stock. This discussion is based on the provisions of the Code and the regulations of the U.S. Department of Treasury promulgated thereunder, or “Treasury regulations,” each as in effect as of the date of this Form 10-K.</w:t>
      </w:r>
    </w:p>
    <w:p>
      <w:pPr>
        <w:spacing w:after="0" w:line="106" w:lineRule="exact"/>
        <w:rPr>
          <w:sz w:val="20"/>
          <w:szCs w:val="20"/>
          <w:color w:val="auto"/>
        </w:rPr>
      </w:pPr>
    </w:p>
    <w:p>
      <w:pPr>
        <w:jc w:val="both"/>
        <w:ind w:left="1260" w:right="679" w:firstLine="360"/>
        <w:spacing w:after="0" w:line="268" w:lineRule="auto"/>
        <w:rPr>
          <w:sz w:val="20"/>
          <w:szCs w:val="20"/>
          <w:color w:val="auto"/>
        </w:rPr>
      </w:pPr>
      <w:r>
        <w:rPr>
          <w:rFonts w:ascii="Arial" w:cs="Arial" w:eastAsia="Arial" w:hAnsi="Arial"/>
          <w:sz w:val="17"/>
          <w:szCs w:val="17"/>
          <w:color w:val="auto"/>
        </w:rPr>
        <w:t>These provisions are subject to differing interpretations and change by legislative or administrative action, and any change may be retroactive. This discussion does not constitute a detailed explanation of all U.S. federal income tax aspects affecting us and our stockholders and does not purport to deal with the U.S. federal income tax consequences that may be important to particular stockholders in light of their individual investment circumstances or to some types of stockholders subject to special tax rules, such as financial institutions, broker dealers, insurance companies, tax-exempt organizations, partnerships or other pass-through entities, persons holding our common stock in connection with a hedging, straddle, conversion or other integrated transaction, non-U.S. stockholders (as defined below) engaged in a trade or business in the United States, persons who have ceased to be U.S. citizens or to be taxed as resident aliens or individual non-U.S. stockholders present in the United States for 183 days or more during a taxable year. This discussion also does not address any aspects of U.S. estate or gift tax or foreign, state or local tax. This discussion assumes that our stockholders hold their shares of our common stock as capital assets for U.S. federal income tax purposes (generally, assets held for investment). No ruling has been or will be sought from the Internal Revenue Service (the “IRS”) regarding any matter discussed herein.</w:t>
      </w:r>
    </w:p>
    <w:p>
      <w:pPr>
        <w:spacing w:after="0" w:line="117" w:lineRule="exact"/>
        <w:rPr>
          <w:sz w:val="20"/>
          <w:szCs w:val="20"/>
          <w:color w:val="auto"/>
        </w:rPr>
      </w:pPr>
    </w:p>
    <w:p>
      <w:pPr>
        <w:jc w:val="both"/>
        <w:ind w:left="1260" w:right="679" w:firstLine="360"/>
        <w:spacing w:after="0" w:line="277" w:lineRule="auto"/>
        <w:rPr>
          <w:sz w:val="20"/>
          <w:szCs w:val="20"/>
          <w:color w:val="auto"/>
        </w:rPr>
      </w:pPr>
      <w:r>
        <w:rPr>
          <w:rFonts w:ascii="Arial" w:cs="Arial" w:eastAsia="Arial" w:hAnsi="Arial"/>
          <w:sz w:val="18"/>
          <w:szCs w:val="18"/>
          <w:color w:val="auto"/>
        </w:rPr>
        <w:t>A “U.S. stockholder” is a beneficial owner of shares of our common stock that is for U.S. federal income tax purposes:</w:t>
      </w:r>
    </w:p>
    <w:p>
      <w:pPr>
        <w:spacing w:after="0" w:line="62" w:lineRule="exact"/>
        <w:rPr>
          <w:sz w:val="20"/>
          <w:szCs w:val="20"/>
          <w:color w:val="auto"/>
        </w:rPr>
      </w:pPr>
    </w:p>
    <w:p>
      <w:pPr>
        <w:ind w:left="1800" w:hanging="178"/>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any state therein or the District of Columbia;</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79" w:hanging="178"/>
        <w:spacing w:after="0" w:line="308"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trust if a court within the United States can exercise primary jurisdiction over the administration of the trust and one or more U.S. persons have authority to control all substantial decisions of the trust.</w:t>
      </w:r>
    </w:p>
    <w:p>
      <w:pPr>
        <w:spacing w:after="0" w:line="65"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A “non-U.S. stockholder” means a beneficial owner of shares of our common stock that is for U.S. federal income tax purposes:</w:t>
      </w:r>
    </w:p>
    <w:p>
      <w:pPr>
        <w:spacing w:after="0" w:line="63" w:lineRule="exact"/>
        <w:rPr>
          <w:sz w:val="20"/>
          <w:szCs w:val="20"/>
          <w:color w:val="auto"/>
        </w:rPr>
      </w:pPr>
    </w:p>
    <w:p>
      <w:pPr>
        <w:ind w:left="1800" w:hanging="178"/>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jc w:val="both"/>
        <w:ind w:left="1260" w:right="679" w:firstLine="360"/>
        <w:spacing w:after="0" w:line="279" w:lineRule="auto"/>
        <w:rPr>
          <w:sz w:val="20"/>
          <w:szCs w:val="20"/>
          <w:color w:val="auto"/>
        </w:rPr>
      </w:pPr>
      <w:r>
        <w:rPr>
          <w:rFonts w:ascii="Arial" w:cs="Arial" w:eastAsia="Arial" w:hAnsi="Arial"/>
          <w:sz w:val="16"/>
          <w:szCs w:val="16"/>
          <w:color w:val="auto"/>
        </w:rPr>
        <w:t>If a partnership or other entity classified as a partnership, for U.S. federal income tax purposes, holds our shares, the U.S. tax treatment of the partnership and each partner generally will depend on the status of the partner, the activities of the partnership and certain determinations made at the partner level. A partnership considering an investment in our common stock should consult its own tax advisers regarding the U.S. federal income tax consequences of the acquisition, ownership and disposition of shares by the partnership.</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158" w:lineRule="exact"/>
        <w:rPr>
          <w:sz w:val="20"/>
          <w:szCs w:val="20"/>
          <w:color w:val="auto"/>
        </w:rPr>
      </w:pPr>
    </w:p>
    <w:p>
      <w:pPr>
        <w:jc w:val="both"/>
        <w:ind w:left="1260" w:right="679" w:firstLine="360"/>
        <w:spacing w:after="0" w:line="243" w:lineRule="auto"/>
        <w:rPr>
          <w:sz w:val="20"/>
          <w:szCs w:val="20"/>
          <w:color w:val="auto"/>
        </w:rPr>
      </w:pPr>
      <w:r>
        <w:rPr>
          <w:rFonts w:ascii="Arial" w:cs="Arial" w:eastAsia="Arial" w:hAnsi="Arial"/>
          <w:sz w:val="18"/>
          <w:szCs w:val="18"/>
          <w:color w:val="auto"/>
        </w:rPr>
        <w:t>We elected to be treated as a RIC under Subchapter M of the Code for 2015, have qualified, currently qualify and intend to qualify for treatment as a RIC annually. As a RIC, we generally will not pay corporate-level U.S. federal income taxes on any ordinary income or capital gains that we timely distribute to our stockholders as dividends.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 qualify as a RIC, we must, among other things:</w:t>
      </w:r>
    </w:p>
    <w:p>
      <w:pPr>
        <w:spacing w:after="0" w:line="117" w:lineRule="exact"/>
        <w:rPr>
          <w:sz w:val="20"/>
          <w:szCs w:val="20"/>
          <w:color w:val="auto"/>
        </w:rPr>
      </w:pPr>
    </w:p>
    <w:p>
      <w:pPr>
        <w:ind w:left="1800" w:hanging="178"/>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meet the annual distribution requirements;</w:t>
      </w:r>
    </w:p>
    <w:p>
      <w:pPr>
        <w:spacing w:after="0" w:line="117" w:lineRule="exact"/>
        <w:rPr>
          <w:rFonts w:ascii="Arial" w:cs="Arial" w:eastAsia="Arial" w:hAnsi="Arial"/>
          <w:sz w:val="18"/>
          <w:szCs w:val="18"/>
          <w:color w:val="auto"/>
        </w:rPr>
      </w:pPr>
    </w:p>
    <w:p>
      <w:pPr>
        <w:jc w:val="both"/>
        <w:ind w:left="1800" w:right="679" w:hanging="178"/>
        <w:spacing w:after="0" w:line="25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or “QPTP,” hereinafter the “90% Gross Income Test;” and</w:t>
      </w:r>
    </w:p>
    <w:p>
      <w:pPr>
        <w:spacing w:after="0" w:line="79" w:lineRule="exact"/>
        <w:rPr>
          <w:rFonts w:ascii="Arial" w:cs="Arial" w:eastAsia="Arial" w:hAnsi="Arial"/>
          <w:sz w:val="18"/>
          <w:szCs w:val="18"/>
          <w:color w:val="auto"/>
        </w:rPr>
      </w:pPr>
    </w:p>
    <w:p>
      <w:pPr>
        <w:ind w:left="1800" w:hanging="178"/>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each taxable year:</w:t>
      </w:r>
    </w:p>
    <w:p>
      <w:pPr>
        <w:spacing w:after="0" w:line="117" w:lineRule="exact"/>
        <w:rPr>
          <w:rFonts w:ascii="Arial" w:cs="Arial" w:eastAsia="Arial" w:hAnsi="Arial"/>
          <w:sz w:val="18"/>
          <w:szCs w:val="18"/>
          <w:color w:val="auto"/>
        </w:rPr>
      </w:pPr>
    </w:p>
    <w:p>
      <w:pPr>
        <w:jc w:val="both"/>
        <w:ind w:left="2160" w:right="679" w:hanging="178"/>
        <w:spacing w:after="0" w:line="279" w:lineRule="auto"/>
        <w:tabs>
          <w:tab w:leader="none" w:pos="21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w:t>
      </w:r>
    </w:p>
    <w:p>
      <w:pPr>
        <w:spacing w:after="0" w:line="49" w:lineRule="exact"/>
        <w:rPr>
          <w:rFonts w:ascii="Arial" w:cs="Arial" w:eastAsia="Arial" w:hAnsi="Arial"/>
          <w:sz w:val="17"/>
          <w:szCs w:val="17"/>
          <w:color w:val="auto"/>
        </w:rPr>
      </w:pPr>
    </w:p>
    <w:p>
      <w:pPr>
        <w:jc w:val="both"/>
        <w:ind w:left="2160" w:right="679" w:hanging="178"/>
        <w:spacing w:after="0" w:line="301" w:lineRule="auto"/>
        <w:tabs>
          <w:tab w:leader="none" w:pos="21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not more than 25% of the value of our total assets is invested in the securities of any issuer (other than U.S. Government securities and the securities of other RICs), the securities of any two or more issuers that we control and that are determined to be engaged in the same business or similar or related trades or businesses, or the securities of one or more QPTPs, or the “Diversification Tests.”</w:t>
      </w:r>
    </w:p>
    <w:p>
      <w:pPr>
        <w:spacing w:after="0" w:line="90" w:lineRule="exact"/>
        <w:rPr>
          <w:sz w:val="20"/>
          <w:szCs w:val="20"/>
          <w:color w:val="auto"/>
        </w:rPr>
      </w:pPr>
    </w:p>
    <w:p>
      <w:pPr>
        <w:jc w:val="both"/>
        <w:ind w:left="1260" w:right="679" w:firstLine="360"/>
        <w:spacing w:after="0" w:line="253" w:lineRule="auto"/>
        <w:rPr>
          <w:sz w:val="20"/>
          <w:szCs w:val="20"/>
          <w:color w:val="auto"/>
        </w:rPr>
      </w:pPr>
      <w:r>
        <w:rPr>
          <w:rFonts w:ascii="Arial" w:cs="Arial" w:eastAsia="Arial" w:hAnsi="Arial"/>
          <w:sz w:val="17"/>
          <w:szCs w:val="17"/>
          <w:color w:val="auto"/>
        </w:rPr>
        <w:t>In the case of a RIC that furnishes capital to development corporations, there is an exception relating to the Diversification Tests described above. This exception is available only to RICs which the SEC determines to be principally engaged in the furnishing of capital to other corporations which are principally engaged in the development or exploitation of inventions, technological improvements, new processes, or products not previously generally available (“SEC Certification”). We have not sought SEC Certification, but it is possible that we may seek SEC Certification in future years. If we receive SEC Certification, we generally will be entitled to include, in the computation of the 50% value of our assets (described above), the value of any securities of an issuer, whether or not we own more than 10% of the outstanding voting securities of the issuer, if the basis of the securities, when added to our basis of any other securities of the issuer that we own, does not exceed 5% of the value of our total assets.</w:t>
      </w:r>
    </w:p>
    <w:p>
      <w:pPr>
        <w:spacing w:after="0" w:line="113" w:lineRule="exact"/>
        <w:rPr>
          <w:sz w:val="20"/>
          <w:szCs w:val="20"/>
          <w:color w:val="auto"/>
        </w:rPr>
      </w:pPr>
    </w:p>
    <w:p>
      <w:pPr>
        <w:jc w:val="both"/>
        <w:ind w:left="1260" w:right="679" w:firstLine="360"/>
        <w:spacing w:after="0" w:line="294" w:lineRule="auto"/>
        <w:rPr>
          <w:sz w:val="20"/>
          <w:szCs w:val="20"/>
          <w:color w:val="auto"/>
        </w:rPr>
      </w:pPr>
      <w:r>
        <w:rPr>
          <w:rFonts w:ascii="Arial" w:cs="Arial" w:eastAsia="Arial" w:hAnsi="Arial"/>
          <w:sz w:val="16"/>
          <w:szCs w:val="16"/>
          <w:color w:val="auto"/>
        </w:rPr>
        <w:t>As a RIC, we (but not our stockholders) are generally not subject to U.S. federal income tax on investment company taxable income and net capital gains that we distribute to our stockholders in any taxable year with respect to which we distribute an amount equal to at least 90% of the sum of our (i) investment company</w:t>
      </w:r>
    </w:p>
    <w:p>
      <w:pPr>
        <w:spacing w:after="0" w:line="3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52" w:lineRule="auto"/>
        <w:rPr>
          <w:sz w:val="20"/>
          <w:szCs w:val="20"/>
          <w:color w:val="auto"/>
        </w:rPr>
      </w:pPr>
      <w:r>
        <w:rPr>
          <w:rFonts w:ascii="Arial" w:cs="Arial" w:eastAsia="Arial" w:hAnsi="Arial"/>
          <w:sz w:val="17"/>
          <w:szCs w:val="17"/>
          <w:color w:val="auto"/>
        </w:rPr>
        <w:t>taxable income (which includes, among other items, dividends, interest and the excess of any net realized short-term capital gains over net realized long-term capital losses and other taxable income (other than any net capital gain), reduced by deductible expenses) determined without regard to the deduction for dividends and distributions paid and (ii) net tax-exempt interest income (which is the excess of our gross tax-exempt interest income over certain disallowed deductions), or the “Annual Distribution Requirement.” We intend to distribute annually all or substantially all of such income. Generally, if we fail to meet this Annual Distribution Requirement for any taxable year, we will fail to qualify for tax treatment as a RIC for such taxable year. To the extent we meet the Annual Distribution Requirement for a taxable year, but retain our net capital gains for investment or any investment company taxable income, we will be subject to U.S. federal income tax on such retained capital gains and investment company taxable income. We may choose to retain our net capital gains for investment or any investment company taxable income, and pay the associated federal corporate income tax, including the 4% U.S. federal excise tax described below.</w:t>
      </w:r>
    </w:p>
    <w:p>
      <w:pPr>
        <w:spacing w:after="0" w:line="102" w:lineRule="exact"/>
        <w:rPr>
          <w:sz w:val="20"/>
          <w:szCs w:val="20"/>
          <w:color w:val="auto"/>
        </w:rPr>
      </w:pPr>
    </w:p>
    <w:p>
      <w:pPr>
        <w:jc w:val="both"/>
        <w:ind w:left="1260" w:right="679" w:firstLine="360"/>
        <w:spacing w:after="0" w:line="291" w:lineRule="auto"/>
        <w:rPr>
          <w:sz w:val="20"/>
          <w:szCs w:val="20"/>
          <w:color w:val="auto"/>
        </w:rPr>
      </w:pPr>
      <w:r>
        <w:rPr>
          <w:rFonts w:ascii="Arial" w:cs="Arial" w:eastAsia="Arial" w:hAnsi="Arial"/>
          <w:sz w:val="17"/>
          <w:szCs w:val="17"/>
          <w:color w:val="auto"/>
        </w:rPr>
        <w:t>We are subject to a nondeductible 4% U.S. federal excise tax on certain of our undistributed income, unless we timely distribute (or are deemed to have timely distributed) an amount equal to the sum of:</w:t>
      </w:r>
    </w:p>
    <w:p>
      <w:pPr>
        <w:spacing w:after="0" w:line="39" w:lineRule="exact"/>
        <w:rPr>
          <w:sz w:val="20"/>
          <w:szCs w:val="20"/>
          <w:color w:val="auto"/>
        </w:rPr>
      </w:pPr>
    </w:p>
    <w:p>
      <w:pPr>
        <w:ind w:left="1800" w:right="679" w:hanging="178"/>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least 98% of our ordinary income (not taking into account any capital gains or losses) for the calendar year;</w:t>
      </w:r>
    </w:p>
    <w:p>
      <w:pPr>
        <w:spacing w:after="0" w:line="62" w:lineRule="exact"/>
        <w:rPr>
          <w:rFonts w:ascii="Arial" w:cs="Arial" w:eastAsia="Arial" w:hAnsi="Arial"/>
          <w:sz w:val="18"/>
          <w:szCs w:val="18"/>
          <w:color w:val="auto"/>
        </w:rPr>
      </w:pPr>
    </w:p>
    <w:p>
      <w:pPr>
        <w:jc w:val="both"/>
        <w:ind w:left="1800" w:right="679" w:hanging="178"/>
        <w:spacing w:after="0" w:line="263"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least 98.2% of the amount by which our capital gains exceed our capital losses (adjusted for certain ordinary losses) for a one-year period generally ending on October 31 of the calendar year (unless an election is made by us to use our taxable year); and</w:t>
      </w:r>
    </w:p>
    <w:p>
      <w:pPr>
        <w:spacing w:after="0" w:line="75"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net ordinary income and capital gain net income that we recognized in previous years on which we paid no U.S. federal income tax.</w:t>
      </w:r>
    </w:p>
    <w:p>
      <w:pPr>
        <w:spacing w:after="0" w:line="103"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7"/>
          <w:szCs w:val="17"/>
          <w:color w:val="auto"/>
        </w:rPr>
        <w:t>While we intend to distribute any income and capital gains in order to avoid imposition of this 4% U.S. federal excise tax, we may not be successful in avoiding entirely the imposition of this tax. In that case, we will be liable for the tax only on the amount by which we do not meet the foregoing distribution requirement.</w:t>
      </w:r>
    </w:p>
    <w:p>
      <w:pPr>
        <w:spacing w:after="0" w:line="83"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7"/>
          <w:szCs w:val="17"/>
          <w:color w:val="auto"/>
        </w:rPr>
        <w:t>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 Regulation as a Business Development Company —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4% U.S. federal excise tax, we may make such dispositions at times that, from an investment standpoint, are not advantageous.</w:t>
      </w:r>
    </w:p>
    <w:p>
      <w:pPr>
        <w:spacing w:after="0" w:line="113" w:lineRule="exact"/>
        <w:rPr>
          <w:sz w:val="20"/>
          <w:szCs w:val="20"/>
          <w:color w:val="auto"/>
        </w:rPr>
      </w:pPr>
    </w:p>
    <w:p>
      <w:pPr>
        <w:jc w:val="both"/>
        <w:ind w:left="1260" w:right="679" w:firstLine="360"/>
        <w:spacing w:after="0" w:line="252" w:lineRule="auto"/>
        <w:rPr>
          <w:sz w:val="20"/>
          <w:szCs w:val="20"/>
          <w:color w:val="auto"/>
        </w:rPr>
      </w:pPr>
      <w:r>
        <w:rPr>
          <w:rFonts w:ascii="Arial" w:cs="Arial" w:eastAsia="Arial" w:hAnsi="Arial"/>
          <w:sz w:val="17"/>
          <w:szCs w:val="17"/>
          <w:color w:val="auto"/>
        </w:rPr>
        <w:t>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158" w:lineRule="exact"/>
        <w:rPr>
          <w:sz w:val="20"/>
          <w:szCs w:val="20"/>
          <w:color w:val="auto"/>
        </w:rPr>
      </w:pPr>
    </w:p>
    <w:p>
      <w:pPr>
        <w:jc w:val="both"/>
        <w:ind w:left="1260" w:right="679" w:firstLine="360"/>
        <w:spacing w:after="0" w:line="279" w:lineRule="auto"/>
        <w:rPr>
          <w:sz w:val="20"/>
          <w:szCs w:val="20"/>
          <w:color w:val="auto"/>
        </w:rPr>
      </w:pPr>
      <w:r>
        <w:rPr>
          <w:rFonts w:ascii="Arial" w:cs="Arial" w:eastAsia="Arial" w:hAnsi="Arial"/>
          <w:sz w:val="16"/>
          <w:szCs w:val="16"/>
          <w:color w:val="auto"/>
        </w:rPr>
        <w:t>While we have elected, and expect to qualify, to be treated as a RIC for 2019 and intend to qualify to be treated as a RIC annually, no assurance can be provided that we will qualify for tax treatment as a RIC for any taxable year. For example, we anticipate that we may have difficulty satisfying the Diversification Tests as we deploy initial capital and build our portfolio. In addition, we may have difficulty satisfying the diversification requirements after the consummation of the initial Spin-Off transaction if we decide to liquidate our portfolio</w:t>
      </w:r>
    </w:p>
    <w:p>
      <w:pPr>
        <w:spacing w:after="0" w:line="33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84" w:lineRule="auto"/>
        <w:rPr>
          <w:sz w:val="20"/>
          <w:szCs w:val="20"/>
          <w:color w:val="auto"/>
        </w:rPr>
      </w:pPr>
      <w:r>
        <w:rPr>
          <w:rFonts w:ascii="Arial" w:cs="Arial" w:eastAsia="Arial" w:hAnsi="Arial"/>
          <w:sz w:val="16"/>
          <w:szCs w:val="16"/>
          <w:color w:val="auto"/>
        </w:rPr>
        <w:t>since we will not be making additional investments. While we generally will not lose our status as a RIC as long as we do not acquire any non-qualifying securities or other property, under certain circumstances we may be deemed to have made an acquisition of non-qualifying securities or other property. If we have previously qualified as a RIC, but were subsequently unable to qualify for treatment as a RIC, and certain amelioration provisions are not applicable, we would be subject to tax on all of our taxable income (including our net capital gains) at regular corporate rates. We would not be able to deduct distributions to stockholders, nor would we be required to make distributions. Distributions, including distributions of net long-term capital gain, would generally be taxable to our stockholders as ordinary dividend income to the extent of our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our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we would be required to distribute all of our previously undistributed earnings attributable to the period we failed to qualify as a RIC by the end of the first year that we intend to requalify as a RIC. If we fail to requalify as a RIC for a period greater than two taxable years, we may be subject to regular corporate tax on any net built-in gains with respect to certain of our assets (</w:t>
      </w:r>
      <w:r>
        <w:rPr>
          <w:rFonts w:ascii="Arial" w:cs="Arial" w:eastAsia="Arial" w:hAnsi="Arial"/>
          <w:sz w:val="16"/>
          <w:szCs w:val="16"/>
          <w:i w:val="1"/>
          <w:iCs w:val="1"/>
          <w:color w:val="auto"/>
        </w:rPr>
        <w:t>i.e.</w:t>
      </w:r>
      <w:r>
        <w:rPr>
          <w:rFonts w:ascii="Arial" w:cs="Arial" w:eastAsia="Arial" w:hAnsi="Arial"/>
          <w:sz w:val="16"/>
          <w:szCs w:val="16"/>
          <w:color w:val="auto"/>
        </w:rPr>
        <w:t>,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remainder of this discussion assumes that we qualify as a RIC for each taxable year.</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Company Investments</w:t>
      </w:r>
    </w:p>
    <w:p>
      <w:pPr>
        <w:spacing w:after="0" w:line="158" w:lineRule="exact"/>
        <w:rPr>
          <w:sz w:val="20"/>
          <w:szCs w:val="20"/>
          <w:color w:val="auto"/>
        </w:rPr>
      </w:pPr>
    </w:p>
    <w:p>
      <w:pPr>
        <w:jc w:val="both"/>
        <w:ind w:left="1260" w:right="679" w:firstLine="360"/>
        <w:spacing w:after="0" w:line="269" w:lineRule="auto"/>
        <w:rPr>
          <w:sz w:val="20"/>
          <w:szCs w:val="20"/>
          <w:color w:val="auto"/>
        </w:rPr>
      </w:pPr>
      <w:r>
        <w:rPr>
          <w:rFonts w:ascii="Arial" w:cs="Arial" w:eastAsia="Arial" w:hAnsi="Arial"/>
          <w:sz w:val="17"/>
          <w:szCs w:val="17"/>
          <w:color w:val="auto"/>
        </w:rPr>
        <w:t>Certain of our investment practices are subject to special and complex U.S. federal income tax provisions that may, among other things, (i) disallow, suspend or otherwise limit the allowance of certain losses or deductions, including the dividends received deduction, (ii) convert lower taxed long-term capital gains and qualified dividend income into higher taxed short-term capital gains or ordinary income, (iii) convert ordinary loss or a deduction into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w:t>
      </w:r>
    </w:p>
    <w:p>
      <w:pPr>
        <w:spacing w:after="0" w:line="114" w:lineRule="exact"/>
        <w:rPr>
          <w:sz w:val="20"/>
          <w:szCs w:val="20"/>
          <w:color w:val="auto"/>
        </w:rPr>
      </w:pPr>
    </w:p>
    <w:p>
      <w:pPr>
        <w:jc w:val="both"/>
        <w:ind w:left="1260" w:right="679" w:firstLine="360"/>
        <w:spacing w:after="0" w:line="289" w:lineRule="auto"/>
        <w:rPr>
          <w:sz w:val="20"/>
          <w:szCs w:val="20"/>
          <w:color w:val="auto"/>
        </w:rPr>
      </w:pPr>
      <w:r>
        <w:rPr>
          <w:rFonts w:ascii="Arial" w:cs="Arial" w:eastAsia="Arial" w:hAnsi="Arial"/>
          <w:sz w:val="16"/>
          <w:szCs w:val="16"/>
          <w:i w:val="1"/>
          <w:iCs w:val="1"/>
          <w:color w:val="auto"/>
        </w:rPr>
        <w:t xml:space="preserve">Debt Instruments. </w:t>
      </w:r>
      <w:r>
        <w:rPr>
          <w:rFonts w:ascii="Arial" w:cs="Arial" w:eastAsia="Arial" w:hAnsi="Arial"/>
          <w:sz w:val="16"/>
          <w:szCs w:val="16"/>
          <w:color w:val="auto"/>
        </w:rPr>
        <w:t>In certain circumstances, we may be required to recognize taxable income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at which we receive cash. For example, if we hold debt instruments that are treated under applicable tax rules as having original issue discount (such as debt instruments with an end-of-term payment and/or PIK interest payment or, in certain cases, increasing interest rates or issued with warrants), we must include in taxable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w:t>
      </w:r>
    </w:p>
    <w:p>
      <w:pPr>
        <w:spacing w:after="0" w:line="85"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Gain or loss realized by us from the sale or exchange of warrants acquired by us as well as any</w:t>
      </w:r>
      <w:r>
        <w:rPr>
          <w:rFonts w:ascii="Arial" w:cs="Arial" w:eastAsia="Arial" w:hAnsi="Arial"/>
          <w:sz w:val="18"/>
          <w:szCs w:val="18"/>
          <w:i w:val="1"/>
          <w:iCs w:val="1"/>
          <w:color w:val="auto"/>
        </w:rPr>
        <w:t xml:space="preserve"> </w:t>
      </w:r>
      <w:r>
        <w:rPr>
          <w:rFonts w:ascii="Arial" w:cs="Arial" w:eastAsia="Arial" w:hAnsi="Arial"/>
          <w:sz w:val="18"/>
          <w:szCs w:val="18"/>
          <w:color w:val="auto"/>
        </w:rPr>
        <w:t>loss attributable to the lapse of such warrants generally are treated as capital gain or loss. The treatment of such gain or loss as long-term or short-term generally depends on how long we held a particular warrant and on the nature of the disposition transaction.</w:t>
      </w:r>
    </w:p>
    <w:p>
      <w:pPr>
        <w:spacing w:after="0" w:line="119"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i w:val="1"/>
          <w:iCs w:val="1"/>
          <w:color w:val="auto"/>
        </w:rPr>
        <w:t xml:space="preserve">Foreign Investments. </w:t>
      </w:r>
      <w:r>
        <w:rPr>
          <w:rFonts w:ascii="Arial" w:cs="Arial" w:eastAsia="Arial" w:hAnsi="Arial"/>
          <w:sz w:val="18"/>
          <w:szCs w:val="18"/>
          <w:color w:val="auto"/>
        </w:rPr>
        <w:t>In the event we invest in foreign securities, we may be subject to withholding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foreign taxes with respect to those securities. We do not expect to satisfy the requirement to pass through to our stockholders their share of the foreign taxes paid by us.</w:t>
      </w: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firstLine="360"/>
        <w:spacing w:after="0" w:line="238" w:lineRule="auto"/>
        <w:rPr>
          <w:sz w:val="20"/>
          <w:szCs w:val="20"/>
          <w:color w:val="auto"/>
        </w:rPr>
      </w:pPr>
      <w:r>
        <w:rPr>
          <w:rFonts w:ascii="Arial" w:cs="Arial" w:eastAsia="Arial" w:hAnsi="Arial"/>
          <w:sz w:val="18"/>
          <w:szCs w:val="18"/>
          <w:i w:val="1"/>
          <w:iCs w:val="1"/>
          <w:color w:val="auto"/>
        </w:rPr>
        <w:t xml:space="preserve">Passive Foreign Investment Companies. </w:t>
      </w:r>
      <w:r>
        <w:rPr>
          <w:rFonts w:ascii="Arial" w:cs="Arial" w:eastAsia="Arial" w:hAnsi="Arial"/>
          <w:sz w:val="18"/>
          <w:szCs w:val="18"/>
          <w:color w:val="auto"/>
        </w:rPr>
        <w:t>We may invest in the stock of a foreign corporation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a “passive foreign investment company” (within the meaning of Section 1297 of the Code), or “PFIC.” In general, unless a special tax election has been made, we are required to pay tax at ordinary income rates on any gains and “excess distributions” with respect to PFIC stock as if such items had been realized ratably over the period during which we held the PFIC stock, plus an interest charge. Certain adverse tax consequences of a PFIC investment may be limited if we are eligible to elect alternative tax treatment with respect to such investment. No assurances can be given that any such election will be available or that, if available, we will make such an election.</w:t>
      </w:r>
    </w:p>
    <w:p>
      <w:pPr>
        <w:spacing w:after="0" w:line="113" w:lineRule="exact"/>
        <w:rPr>
          <w:sz w:val="20"/>
          <w:szCs w:val="20"/>
          <w:color w:val="auto"/>
        </w:rPr>
      </w:pPr>
    </w:p>
    <w:p>
      <w:pPr>
        <w:jc w:val="both"/>
        <w:ind w:left="1260" w:right="679" w:firstLine="360"/>
        <w:spacing w:after="0" w:line="272" w:lineRule="auto"/>
        <w:rPr>
          <w:sz w:val="20"/>
          <w:szCs w:val="20"/>
          <w:color w:val="auto"/>
        </w:rPr>
      </w:pPr>
      <w:r>
        <w:rPr>
          <w:rFonts w:ascii="Arial" w:cs="Arial" w:eastAsia="Arial" w:hAnsi="Arial"/>
          <w:sz w:val="16"/>
          <w:szCs w:val="16"/>
          <w:i w:val="1"/>
          <w:iCs w:val="1"/>
          <w:color w:val="auto"/>
        </w:rPr>
        <w:t xml:space="preserve">Foreign Currency Transactions. </w:t>
      </w:r>
      <w:r>
        <w:rPr>
          <w:rFonts w:ascii="Arial" w:cs="Arial" w:eastAsia="Arial" w:hAnsi="Arial"/>
          <w:sz w:val="16"/>
          <w:szCs w:val="16"/>
          <w:color w:val="auto"/>
        </w:rPr>
        <w:t>Under the Code, gains or losses attributable to fluctuations in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which occur between the time we accrue income or other 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disposition also are treated as ordinary gain or loss. These currency fluctuations related gains and losses may increase or decrease the amount of our investment company taxable income to be distributed to our stockholders as ordinary income.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jc w:val="both"/>
        <w:ind w:left="1260" w:right="679" w:firstLine="360"/>
        <w:spacing w:after="0" w:line="239" w:lineRule="auto"/>
        <w:rPr>
          <w:sz w:val="20"/>
          <w:szCs w:val="20"/>
          <w:color w:val="auto"/>
        </w:rPr>
      </w:pPr>
      <w:r>
        <w:rPr>
          <w:rFonts w:ascii="Arial" w:cs="Arial" w:eastAsia="Arial" w:hAnsi="Arial"/>
          <w:sz w:val="18"/>
          <w:szCs w:val="18"/>
          <w:color w:val="auto"/>
        </w:rPr>
        <w:t>We have elected to be regulated as a BDC under the 1940 Act. A BDC must be organized in the United States for the purpose of investing in or lending to primarily private companies and making significant managerial assistance available to them. A BDC may use capital provided by stockholders and from other sources to make long-term, private investments in businesses. A BDC provides stockholders the ability to retain the liquidity of a publicly traded stock while sharing in the possible benefits, if any, of investing in primarily privately-owned companies. Until an IPO, if any, we do not intend to list our common stock on a stock exchange, and it will not be publicly traded.</w:t>
      </w:r>
    </w:p>
    <w:p>
      <w:pPr>
        <w:spacing w:after="0" w:line="123" w:lineRule="exact"/>
        <w:rPr>
          <w:sz w:val="20"/>
          <w:szCs w:val="20"/>
          <w:color w:val="auto"/>
        </w:rPr>
      </w:pPr>
    </w:p>
    <w:p>
      <w:pPr>
        <w:jc w:val="both"/>
        <w:ind w:left="1260" w:right="679" w:firstLine="360"/>
        <w:spacing w:after="0" w:line="276" w:lineRule="auto"/>
        <w:rPr>
          <w:sz w:val="20"/>
          <w:szCs w:val="20"/>
          <w:color w:val="auto"/>
        </w:rPr>
      </w:pPr>
      <w:r>
        <w:rPr>
          <w:rFonts w:ascii="Arial" w:cs="Arial" w:eastAsia="Arial" w:hAnsi="Arial"/>
          <w:sz w:val="16"/>
          <w:szCs w:val="16"/>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80" w:lineRule="exact"/>
        <w:rPr>
          <w:sz w:val="20"/>
          <w:szCs w:val="20"/>
          <w:color w:val="auto"/>
        </w:rPr>
      </w:pPr>
    </w:p>
    <w:p>
      <w:pPr>
        <w:jc w:val="both"/>
        <w:ind w:left="1260" w:right="679" w:firstLine="360"/>
        <w:spacing w:after="0" w:line="276" w:lineRule="auto"/>
        <w:rPr>
          <w:sz w:val="20"/>
          <w:szCs w:val="20"/>
          <w:color w:val="auto"/>
        </w:rPr>
      </w:pPr>
      <w:r>
        <w:rPr>
          <w:rFonts w:ascii="Arial" w:cs="Arial" w:eastAsia="Arial" w:hAnsi="Arial"/>
          <w:sz w:val="16"/>
          <w:szCs w:val="16"/>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94" w:lineRule="exact"/>
        <w:rPr>
          <w:sz w:val="20"/>
          <w:szCs w:val="20"/>
          <w:color w:val="auto"/>
        </w:rPr>
      </w:pPr>
    </w:p>
    <w:p>
      <w:pPr>
        <w:jc w:val="both"/>
        <w:ind w:left="1260" w:right="679" w:firstLine="360"/>
        <w:spacing w:after="0" w:line="269" w:lineRule="auto"/>
        <w:rPr>
          <w:sz w:val="20"/>
          <w:szCs w:val="20"/>
          <w:color w:val="auto"/>
        </w:rPr>
      </w:pPr>
      <w:r>
        <w:rPr>
          <w:rFonts w:ascii="Arial" w:cs="Arial" w:eastAsia="Arial" w:hAnsi="Arial"/>
          <w:sz w:val="16"/>
          <w:szCs w:val="16"/>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However, the 1940 Act has been modified to allow a BDC to increase the maximum amount of leverage it may incur from an asset coverage ratio of 200% to an asset coverage ratio of 150%, if certain requirements are met. We are permitted to increase our leverage capacity if stockholders representing at least a majority of the votes cast, at an annual or special meeting at which quorum is met, approve a proposal to do so. If we receive such stockholder approval, we would be permitted to increase our leverage capacity on the first day after such approval. Alternatively, we may increase the maximum amount of leverage we may incur to an asset coverage ratio of 150% if the “required majority” of our independent directors as defined in Section 57(o) of the 1940 Act approve such increase, with such approval becoming effective after one year. Because our common stock is not listed on a national securities exchange, if we receive approval to increase the maximum amount of leverage we may incur to an asset coverage ratio of 150% from an asset coverage ratio of 200%, then we must offer to</w:t>
      </w:r>
    </w:p>
    <w:p>
      <w:pPr>
        <w:spacing w:after="0" w:line="34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311" w:lineRule="auto"/>
        <w:rPr>
          <w:sz w:val="20"/>
          <w:szCs w:val="20"/>
          <w:color w:val="auto"/>
        </w:rPr>
      </w:pPr>
      <w:r>
        <w:rPr>
          <w:rFonts w:ascii="Arial" w:cs="Arial" w:eastAsia="Arial" w:hAnsi="Arial"/>
          <w:sz w:val="16"/>
          <w:szCs w:val="16"/>
          <w:color w:val="auto"/>
        </w:rPr>
        <w:t>repurchase all of our common stock held by stockholders as of the date of such approval. In addition, we would be required to make certain disclosures on our website and in SEC filings regarding, among other things, the receipt of approval to increase our leverage, our leverage capacity and usage and risks related to leverage.</w:t>
      </w:r>
    </w:p>
    <w:p>
      <w:pPr>
        <w:spacing w:after="0" w:line="68" w:lineRule="exact"/>
        <w:rPr>
          <w:sz w:val="20"/>
          <w:szCs w:val="20"/>
          <w:color w:val="auto"/>
        </w:rPr>
      </w:pPr>
    </w:p>
    <w:p>
      <w:pPr>
        <w:jc w:val="both"/>
        <w:ind w:left="1260" w:right="679" w:firstLine="360"/>
        <w:spacing w:after="0" w:line="311"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directors who are not “interested persons,” as defined in Section 2(a) (19) of the 1940 Act, of us, RGC or our respective affiliates and, in some cases, prior approval by the SEC.</w:t>
      </w:r>
    </w:p>
    <w:p>
      <w:pPr>
        <w:spacing w:after="0" w:line="81" w:lineRule="exact"/>
        <w:rPr>
          <w:sz w:val="20"/>
          <w:szCs w:val="20"/>
          <w:color w:val="auto"/>
        </w:rPr>
      </w:pPr>
    </w:p>
    <w:p>
      <w:pPr>
        <w:jc w:val="both"/>
        <w:ind w:left="1260" w:right="679" w:firstLine="360"/>
        <w:spacing w:after="0" w:line="269" w:lineRule="auto"/>
        <w:rPr>
          <w:sz w:val="20"/>
          <w:szCs w:val="20"/>
          <w:color w:val="auto"/>
        </w:rPr>
      </w:pPr>
      <w:r>
        <w:rPr>
          <w:rFonts w:ascii="Arial" w:cs="Arial" w:eastAsia="Arial" w:hAnsi="Arial"/>
          <w:sz w:val="17"/>
          <w:szCs w:val="17"/>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indirect expenses. Our investment portfolio is also subject to diversification requirements by virtue of our election to be treated as a RIC for U.S. tax purposes and our intention to continue to operate in a manner so as to qualify for the tax treatment applicable to RICs. See “Risk Factors — Risks Related to Our Business and Structure” in Part I, Item 1A of this Form 10-K for more information.</w:t>
      </w:r>
    </w:p>
    <w:p>
      <w:pPr>
        <w:spacing w:after="0" w:line="118" w:lineRule="exact"/>
        <w:rPr>
          <w:sz w:val="20"/>
          <w:szCs w:val="20"/>
          <w:color w:val="auto"/>
        </w:rPr>
      </w:pPr>
    </w:p>
    <w:p>
      <w:pPr>
        <w:jc w:val="both"/>
        <w:ind w:left="1260" w:right="679" w:firstLine="360"/>
        <w:spacing w:after="0" w:line="296" w:lineRule="auto"/>
        <w:rPr>
          <w:sz w:val="20"/>
          <w:szCs w:val="20"/>
          <w:color w:val="auto"/>
        </w:rPr>
      </w:pPr>
      <w:r>
        <w:rPr>
          <w:rFonts w:ascii="Arial" w:cs="Arial" w:eastAsia="Arial" w:hAnsi="Arial"/>
          <w:sz w:val="16"/>
          <w:szCs w:val="16"/>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80" w:lineRule="exact"/>
        <w:rPr>
          <w:sz w:val="20"/>
          <w:szCs w:val="20"/>
          <w:color w:val="auto"/>
        </w:rPr>
      </w:pPr>
    </w:p>
    <w:p>
      <w:pPr>
        <w:jc w:val="both"/>
        <w:ind w:left="1260" w:right="679" w:firstLine="360"/>
        <w:spacing w:after="0" w:line="269"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See “Risk Factors — Risks Related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in Part I, Item 1A of this Form 10-K.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118" w:lineRule="exact"/>
        <w:rPr>
          <w:sz w:val="20"/>
          <w:szCs w:val="20"/>
          <w:color w:val="auto"/>
        </w:rPr>
      </w:pPr>
    </w:p>
    <w:p>
      <w:pPr>
        <w:jc w:val="both"/>
        <w:ind w:left="1260" w:right="679" w:firstLine="360"/>
        <w:spacing w:after="0" w:line="287" w:lineRule="auto"/>
        <w:rPr>
          <w:sz w:val="20"/>
          <w:szCs w:val="20"/>
          <w:color w:val="auto"/>
        </w:rPr>
      </w:pPr>
      <w:r>
        <w:rPr>
          <w:rFonts w:ascii="Arial" w:cs="Arial" w:eastAsia="Arial" w:hAnsi="Arial"/>
          <w:sz w:val="16"/>
          <w:szCs w:val="16"/>
          <w:color w:val="auto"/>
        </w:rPr>
        <w:t>As a BDC, we are generally limited in our ability to invest in any portfolio company in which RGC or any of its affiliates currently has an investment or to make any co-investments with our investment adviser or its affiliates without an exemptive order from the SEC, subject to certain exceptions. We, RGC and certain of our affiliates have submitted an exemptive application to the SEC to permit us to co-invest with other funds managed by RGC or its affiliates in a manner consistent with our investment objective, positions, policies, strategies and restrictions as well as regulatory requirements and other pertinent factors. There can be no assurance that this exemptive order will be granted. If such relief is granted, then we will be permitted to co-invest with our affiliates if a “required majority” (as defined in Section 57(o) of the 1940 Act) of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w:t>
      </w:r>
    </w:p>
    <w:p>
      <w:pPr>
        <w:spacing w:after="0" w:line="10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144" w:lineRule="exact"/>
        <w:rPr>
          <w:sz w:val="20"/>
          <w:szCs w:val="20"/>
          <w:color w:val="auto"/>
        </w:rPr>
      </w:pPr>
    </w:p>
    <w:p>
      <w:pPr>
        <w:jc w:val="both"/>
        <w:ind w:left="1260" w:right="679" w:firstLine="360"/>
        <w:spacing w:after="0" w:line="277" w:lineRule="auto"/>
        <w:rPr>
          <w:sz w:val="20"/>
          <w:szCs w:val="20"/>
          <w:color w:val="auto"/>
        </w:rPr>
      </w:pPr>
      <w:r>
        <w:rPr>
          <w:rFonts w:ascii="Arial" w:cs="Arial" w:eastAsia="Arial" w:hAnsi="Arial"/>
          <w:sz w:val="18"/>
          <w:szCs w:val="18"/>
          <w:color w:val="auto"/>
        </w:rPr>
        <w:t>As a BDC, we are subject to certain risks and uncertainties. See “Risk Factors — Risks Related to Our Business and Structure” in Part I, Item 1A of this Form 10-K.</w:t>
      </w: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Qualifying Assets</w:t>
      </w:r>
    </w:p>
    <w:p>
      <w:pPr>
        <w:spacing w:after="0" w:line="131" w:lineRule="exact"/>
        <w:rPr>
          <w:sz w:val="20"/>
          <w:szCs w:val="20"/>
          <w:color w:val="auto"/>
        </w:rPr>
      </w:pPr>
    </w:p>
    <w:p>
      <w:pPr>
        <w:jc w:val="both"/>
        <w:ind w:left="1260" w:right="679" w:firstLine="360"/>
        <w:spacing w:after="0" w:line="243"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gross assets. The principal categories of qualifying assets relevant to our business are the following:</w:t>
      </w:r>
    </w:p>
    <w:p>
      <w:pPr>
        <w:spacing w:after="0" w:line="107" w:lineRule="exact"/>
        <w:rPr>
          <w:sz w:val="20"/>
          <w:szCs w:val="20"/>
          <w:color w:val="auto"/>
        </w:rPr>
      </w:pPr>
    </w:p>
    <w:p>
      <w:pPr>
        <w:jc w:val="both"/>
        <w:ind w:left="1980" w:right="679" w:hanging="358"/>
        <w:spacing w:after="0" w:line="275" w:lineRule="auto"/>
        <w:tabs>
          <w:tab w:leader="none" w:pos="1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95" w:lineRule="exact"/>
        <w:rPr>
          <w:rFonts w:ascii="Arial" w:cs="Arial" w:eastAsia="Arial" w:hAnsi="Arial"/>
          <w:sz w:val="17"/>
          <w:szCs w:val="17"/>
          <w:color w:val="auto"/>
        </w:rPr>
      </w:pPr>
    </w:p>
    <w:p>
      <w:pPr>
        <w:ind w:left="2340" w:hanging="358"/>
        <w:spacing w:after="0"/>
        <w:tabs>
          <w:tab w:leader="none" w:pos="23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is organized under the laws of, and has its principal place of business in, the United States;</w:t>
      </w:r>
    </w:p>
    <w:p>
      <w:pPr>
        <w:spacing w:after="0" w:line="155" w:lineRule="exact"/>
        <w:rPr>
          <w:rFonts w:ascii="Arial" w:cs="Arial" w:eastAsia="Arial" w:hAnsi="Arial"/>
          <w:sz w:val="17"/>
          <w:szCs w:val="17"/>
          <w:color w:val="auto"/>
        </w:rPr>
      </w:pPr>
    </w:p>
    <w:p>
      <w:pPr>
        <w:jc w:val="both"/>
        <w:ind w:left="2340" w:right="679" w:hanging="358"/>
        <w:spacing w:after="0" w:line="263" w:lineRule="auto"/>
        <w:tabs>
          <w:tab w:leader="none" w:pos="23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102" w:lineRule="exact"/>
        <w:rPr>
          <w:rFonts w:ascii="Arial" w:cs="Arial" w:eastAsia="Arial" w:hAnsi="Arial"/>
          <w:sz w:val="18"/>
          <w:szCs w:val="18"/>
          <w:color w:val="auto"/>
        </w:rPr>
      </w:pPr>
    </w:p>
    <w:p>
      <w:pPr>
        <w:ind w:left="2340" w:hanging="358"/>
        <w:spacing w:after="0"/>
        <w:tabs>
          <w:tab w:leader="none" w:pos="23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44" w:lineRule="exact"/>
        <w:rPr>
          <w:rFonts w:ascii="Arial" w:cs="Arial" w:eastAsia="Arial" w:hAnsi="Arial"/>
          <w:sz w:val="18"/>
          <w:szCs w:val="18"/>
          <w:color w:val="auto"/>
        </w:rPr>
      </w:pPr>
    </w:p>
    <w:p>
      <w:pPr>
        <w:ind w:left="2700" w:hanging="358"/>
        <w:spacing w:after="0"/>
        <w:tabs>
          <w:tab w:leader="none" w:pos="2700" w:val="left"/>
        </w:tabs>
        <w:numPr>
          <w:ilvl w:val="2"/>
          <w:numId w:val="23"/>
        </w:numPr>
        <w:rPr>
          <w:rFonts w:ascii="Arial" w:cs="Arial" w:eastAsia="Arial" w:hAnsi="Arial"/>
          <w:sz w:val="17"/>
          <w:szCs w:val="17"/>
          <w:color w:val="auto"/>
        </w:rPr>
      </w:pPr>
      <w:r>
        <w:rPr>
          <w:rFonts w:ascii="Arial" w:cs="Arial" w:eastAsia="Arial" w:hAnsi="Arial"/>
          <w:sz w:val="17"/>
          <w:szCs w:val="17"/>
          <w:color w:val="auto"/>
        </w:rPr>
        <w:t>does not have any class of securities that is traded on a national securities exchange;</w:t>
      </w:r>
    </w:p>
    <w:p>
      <w:pPr>
        <w:spacing w:after="0" w:line="155" w:lineRule="exact"/>
        <w:rPr>
          <w:rFonts w:ascii="Arial" w:cs="Arial" w:eastAsia="Arial" w:hAnsi="Arial"/>
          <w:sz w:val="17"/>
          <w:szCs w:val="17"/>
          <w:color w:val="auto"/>
        </w:rPr>
      </w:pPr>
    </w:p>
    <w:p>
      <w:pPr>
        <w:ind w:left="2700" w:right="679" w:hanging="358"/>
        <w:spacing w:after="0" w:line="342" w:lineRule="auto"/>
        <w:tabs>
          <w:tab w:leader="none" w:pos="2700" w:val="left"/>
        </w:tabs>
        <w:numPr>
          <w:ilvl w:val="2"/>
          <w:numId w:val="23"/>
        </w:numPr>
        <w:rPr>
          <w:rFonts w:ascii="Arial" w:cs="Arial" w:eastAsia="Arial" w:hAnsi="Arial"/>
          <w:sz w:val="16"/>
          <w:szCs w:val="16"/>
          <w:color w:val="auto"/>
        </w:rPr>
      </w:pPr>
      <w:r>
        <w:rPr>
          <w:rFonts w:ascii="Arial" w:cs="Arial" w:eastAsia="Arial" w:hAnsi="Arial"/>
          <w:sz w:val="16"/>
          <w:szCs w:val="16"/>
          <w:color w:val="auto"/>
        </w:rPr>
        <w:t>has a class of securities listed on a national securities exchange, but has an aggregate market value of outstanding voting and non-voting common equity of less than $250 million;</w:t>
      </w:r>
    </w:p>
    <w:p>
      <w:pPr>
        <w:spacing w:after="0" w:line="42" w:lineRule="exact"/>
        <w:rPr>
          <w:rFonts w:ascii="Arial" w:cs="Arial" w:eastAsia="Arial" w:hAnsi="Arial"/>
          <w:sz w:val="16"/>
          <w:szCs w:val="16"/>
          <w:color w:val="auto"/>
        </w:rPr>
      </w:pPr>
    </w:p>
    <w:p>
      <w:pPr>
        <w:ind w:left="2700" w:right="679" w:hanging="358"/>
        <w:spacing w:after="0" w:line="277" w:lineRule="auto"/>
        <w:tabs>
          <w:tab w:leader="none" w:pos="27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and the BDC has an affiliated person who is a director of the eligible portfolio company; or</w:t>
      </w:r>
    </w:p>
    <w:p>
      <w:pPr>
        <w:spacing w:after="0" w:line="89" w:lineRule="exact"/>
        <w:rPr>
          <w:rFonts w:ascii="Arial" w:cs="Arial" w:eastAsia="Arial" w:hAnsi="Arial"/>
          <w:sz w:val="18"/>
          <w:szCs w:val="18"/>
          <w:color w:val="auto"/>
        </w:rPr>
      </w:pPr>
    </w:p>
    <w:p>
      <w:pPr>
        <w:ind w:left="2700" w:right="679" w:hanging="358"/>
        <w:spacing w:after="0" w:line="277" w:lineRule="auto"/>
        <w:tabs>
          <w:tab w:leader="none" w:pos="27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is a small and solvent company having gross assets of not more than $4.0 million and capital and surplus of not less than $2.0 million.</w:t>
      </w:r>
    </w:p>
    <w:p>
      <w:pPr>
        <w:spacing w:after="0" w:line="89" w:lineRule="exact"/>
        <w:rPr>
          <w:rFonts w:ascii="Arial" w:cs="Arial" w:eastAsia="Arial" w:hAnsi="Arial"/>
          <w:sz w:val="18"/>
          <w:szCs w:val="18"/>
          <w:color w:val="auto"/>
        </w:rPr>
      </w:pPr>
    </w:p>
    <w:p>
      <w:pPr>
        <w:ind w:left="1980" w:hanging="358"/>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44" w:lineRule="exact"/>
        <w:rPr>
          <w:rFonts w:ascii="Arial" w:cs="Arial" w:eastAsia="Arial" w:hAnsi="Arial"/>
          <w:sz w:val="18"/>
          <w:szCs w:val="18"/>
          <w:color w:val="auto"/>
        </w:rPr>
      </w:pPr>
    </w:p>
    <w:p>
      <w:pPr>
        <w:jc w:val="both"/>
        <w:ind w:left="1980" w:right="679" w:hanging="358"/>
        <w:spacing w:after="0" w:line="257"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06" w:lineRule="exact"/>
        <w:rPr>
          <w:rFonts w:ascii="Arial" w:cs="Arial" w:eastAsia="Arial" w:hAnsi="Arial"/>
          <w:sz w:val="18"/>
          <w:szCs w:val="18"/>
          <w:color w:val="auto"/>
        </w:rPr>
      </w:pPr>
    </w:p>
    <w:p>
      <w:pPr>
        <w:jc w:val="both"/>
        <w:ind w:left="1980" w:right="679" w:hanging="358"/>
        <w:spacing w:after="0" w:line="263"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02" w:lineRule="exact"/>
        <w:rPr>
          <w:rFonts w:ascii="Arial" w:cs="Arial" w:eastAsia="Arial" w:hAnsi="Arial"/>
          <w:sz w:val="18"/>
          <w:szCs w:val="18"/>
          <w:color w:val="auto"/>
        </w:rPr>
      </w:pPr>
    </w:p>
    <w:p>
      <w:pPr>
        <w:ind w:left="1980" w:hanging="358"/>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w:t>
      </w:r>
    </w:p>
    <w:p>
      <w:pPr>
        <w:spacing w:after="0" w:line="23"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7"/>
          <w:szCs w:val="17"/>
          <w:color w:val="auto"/>
        </w:rPr>
        <w:t>(1) through (4) above, or pursuant to the exercise of warrants or rights relating to such securities.</w:t>
      </w:r>
    </w:p>
    <w:p>
      <w:pPr>
        <w:spacing w:after="0" w:line="141" w:lineRule="exact"/>
        <w:rPr>
          <w:rFonts w:ascii="Arial" w:cs="Arial" w:eastAsia="Arial" w:hAnsi="Arial"/>
          <w:sz w:val="18"/>
          <w:szCs w:val="18"/>
          <w:color w:val="auto"/>
        </w:rPr>
      </w:pPr>
    </w:p>
    <w:p>
      <w:pPr>
        <w:ind w:left="1980" w:right="679" w:hanging="358"/>
        <w:spacing w:after="0" w:line="277"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maturing in one year or less from the time of investment.</w:t>
      </w:r>
    </w:p>
    <w:p>
      <w:pPr>
        <w:spacing w:after="0" w:line="103" w:lineRule="exact"/>
        <w:rPr>
          <w:sz w:val="20"/>
          <w:szCs w:val="20"/>
          <w:color w:val="auto"/>
        </w:rPr>
      </w:pPr>
    </w:p>
    <w:p>
      <w:pPr>
        <w:jc w:val="both"/>
        <w:ind w:left="1260" w:right="679" w:firstLine="360"/>
        <w:spacing w:after="0" w:line="238" w:lineRule="auto"/>
        <w:rPr>
          <w:sz w:val="20"/>
          <w:szCs w:val="20"/>
          <w:color w:val="auto"/>
        </w:rPr>
      </w:pPr>
      <w:r>
        <w:rPr>
          <w:rFonts w:ascii="Arial" w:cs="Arial" w:eastAsia="Arial" w:hAnsi="Arial"/>
          <w:sz w:val="18"/>
          <w:szCs w:val="18"/>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the business operations of the BDC, deferred organization and operating expenses, and other non-investment assets necessary and appropriate to its operations as a BDC, until such time as 70% of our then current gross assets were comprised of qualifying assets. We would not be required, however, to dispose of any non-qualifying assets in such circumstances.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Managerial Assistance to Portfolio Companies</w:t>
      </w:r>
    </w:p>
    <w:p>
      <w:pPr>
        <w:spacing w:after="0" w:line="144" w:lineRule="exact"/>
        <w:rPr>
          <w:sz w:val="20"/>
          <w:szCs w:val="20"/>
          <w:color w:val="auto"/>
        </w:rPr>
      </w:pPr>
    </w:p>
    <w:p>
      <w:pPr>
        <w:jc w:val="both"/>
        <w:ind w:left="1260" w:right="679" w:firstLine="360"/>
        <w:spacing w:after="0" w:line="324" w:lineRule="auto"/>
        <w:rPr>
          <w:sz w:val="20"/>
          <w:szCs w:val="20"/>
          <w:color w:val="auto"/>
        </w:rPr>
      </w:pPr>
      <w:r>
        <w:rPr>
          <w:rFonts w:ascii="Arial" w:cs="Arial" w:eastAsia="Arial" w:hAnsi="Arial"/>
          <w:sz w:val="16"/>
          <w:szCs w:val="16"/>
          <w:color w:val="auto"/>
        </w:rPr>
        <w:t>In addition, a BDC must have been organized and have its principal place of business in the United States and must be operated for the purpose of making investments in the types of securities described above in</w:t>
      </w:r>
    </w:p>
    <w:p>
      <w:pPr>
        <w:sectPr>
          <w:pgSz w:w="11900" w:h="16838" w:orient="portrait"/>
          <w:cols w:equalWidth="0" w:num="1">
            <w:col w:w="10139"/>
          </w:cols>
          <w:pgMar w:left="320" w:top="131" w:right="1440" w:bottom="1440" w:gutter="0" w:footer="0" w:header="0"/>
        </w:sectPr>
      </w:pPr>
    </w:p>
    <w:p>
      <w:pPr>
        <w:spacing w:after="0" w:line="30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69" w:lineRule="auto"/>
        <w:rPr>
          <w:sz w:val="20"/>
          <w:szCs w:val="20"/>
          <w:color w:val="auto"/>
        </w:rPr>
      </w:pPr>
      <w:r>
        <w:rPr>
          <w:rFonts w:ascii="Arial" w:cs="Arial" w:eastAsia="Arial" w:hAnsi="Arial"/>
          <w:sz w:val="17"/>
          <w:szCs w:val="17"/>
          <w:color w:val="auto"/>
        </w:rPr>
        <w:t>Qualifying Assets categories (1), (2) or (3). However, in order to count portfolio securities as qualifying assets for the purpose of the 70% test, the BDC must either control the issuer of the securities or must offer to make available to the issuer of the securities (other than small and solvent companies described above in Qualifying Assets category (1)(c)(iv)) significant managerial assistance; except that, where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We may also receive fees for these services. RGC may provide, or arrange for the provision of, such managerial assistance on our behalf to portfolio companies that request this assistance, subject to reimbursement of any fees or expenses incurred on our behalf by RGC in accordance with our Amended Advisory Agreement.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144"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RGC monitors the creditworthiness of the counterparties with which we enter into repurchase agreement transactions.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Senior Securities</w:t>
      </w:r>
    </w:p>
    <w:p>
      <w:pPr>
        <w:spacing w:after="0" w:line="158" w:lineRule="exact"/>
        <w:rPr>
          <w:sz w:val="20"/>
          <w:szCs w:val="20"/>
          <w:color w:val="auto"/>
        </w:rPr>
      </w:pPr>
    </w:p>
    <w:p>
      <w:pPr>
        <w:jc w:val="both"/>
        <w:ind w:left="1260" w:right="679" w:firstLine="360"/>
        <w:spacing w:after="0" w:line="268" w:lineRule="auto"/>
        <w:rPr>
          <w:sz w:val="20"/>
          <w:szCs w:val="20"/>
          <w:color w:val="auto"/>
        </w:rPr>
      </w:pPr>
      <w:r>
        <w:rPr>
          <w:rFonts w:ascii="Arial" w:cs="Arial" w:eastAsia="Arial" w:hAnsi="Arial"/>
          <w:sz w:val="17"/>
          <w:szCs w:val="17"/>
          <w:color w:val="auto"/>
        </w:rPr>
        <w:t>We are generally permitted, under specified conditions, to issue multiple classes of indebtedness and one class of stock senior to our common stock if our asset coverage, as defined in the 1940 Act, is at least equal to 200% immediately after each such issuance. However, the 1940 Act has been modified to allow a BDC to increase the maximum amount of leverage it may incur from an asset coverage ratio of 200% to an asset coverage ratio of 150%, if certain requirements are met. We are permitted to increase our leverage capacity if stockholders representing at least a majority of the votes cast, at an annual or special meeting at which quorum is met, approve a proposal to do so. If we receive such stockholder approval, we would be permitted to increase our leverage capacity on the first day after such approval. Alternatively, we may increase the maximum amount of leverage we may incur to an asset coverage ratio of 150% if the “required majority” of our independent directors as defined in Section 57(o) of the 1940 Act approve such increase, with such approval becoming effective after one year. Because our common stock is not listed on a national securities exchange, if we receive approval to increase the maximum amount of leverage we may incur to an asset coverage ratio of 150% from an asset coverage ratio of 200%, then we must offer to repurchase all of our common stock held by stockholders as of the date of such approval. In addition, we would be required to make certain disclosures on our website and in SEC filings regarding, among other things, the receipt of approval to increase our leverage, our leverage capacity and usage and risks related to leverage.</w:t>
      </w:r>
    </w:p>
    <w:p>
      <w:pPr>
        <w:spacing w:after="0" w:line="112" w:lineRule="exact"/>
        <w:rPr>
          <w:sz w:val="20"/>
          <w:szCs w:val="20"/>
          <w:color w:val="auto"/>
        </w:rPr>
      </w:pPr>
    </w:p>
    <w:p>
      <w:pPr>
        <w:jc w:val="both"/>
        <w:ind w:left="1260" w:right="679" w:firstLine="360"/>
        <w:spacing w:after="0" w:line="272" w:lineRule="auto"/>
        <w:rPr>
          <w:sz w:val="20"/>
          <w:szCs w:val="20"/>
          <w:color w:val="auto"/>
        </w:rPr>
      </w:pPr>
      <w:r>
        <w:rPr>
          <w:rFonts w:ascii="Arial" w:cs="Arial" w:eastAsia="Arial" w:hAnsi="Arial"/>
          <w:sz w:val="17"/>
          <w:szCs w:val="17"/>
          <w:color w:val="auto"/>
        </w:rPr>
        <w:t>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Related to Our Business and Structure — We may borrow money, which would magnify the potential for gain or loss on amounts invested and may increase the risk of investing in us.” in Part I, Item 1A of this Form 10-K.</w:t>
      </w:r>
    </w:p>
    <w:p>
      <w:pPr>
        <w:spacing w:after="0" w:line="3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Compliance Policies and Procedures</w:t>
      </w:r>
    </w:p>
    <w:p>
      <w:pPr>
        <w:spacing w:after="0" w:line="144" w:lineRule="exact"/>
        <w:rPr>
          <w:sz w:val="20"/>
          <w:szCs w:val="20"/>
          <w:color w:val="auto"/>
        </w:rPr>
      </w:pPr>
    </w:p>
    <w:p>
      <w:pPr>
        <w:jc w:val="both"/>
        <w:ind w:left="1260" w:right="679" w:firstLine="360"/>
        <w:spacing w:after="0" w:line="241" w:lineRule="auto"/>
        <w:rPr>
          <w:sz w:val="20"/>
          <w:szCs w:val="20"/>
          <w:color w:val="auto"/>
        </w:rPr>
      </w:pPr>
      <w:r>
        <w:rPr>
          <w:rFonts w:ascii="Arial" w:cs="Arial" w:eastAsia="Arial" w:hAnsi="Arial"/>
          <w:sz w:val="18"/>
          <w:szCs w:val="18"/>
          <w:color w:val="auto"/>
        </w:rPr>
        <w:t>We and RGC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Carl Rizzo currently serves as our Chief Compliance Officer.</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Sarbanes-Oxley Act of 2002</w:t>
      </w:r>
    </w:p>
    <w:p>
      <w:pPr>
        <w:spacing w:after="0" w:line="158" w:lineRule="exact"/>
        <w:rPr>
          <w:sz w:val="20"/>
          <w:szCs w:val="20"/>
          <w:color w:val="auto"/>
        </w:rPr>
      </w:pPr>
    </w:p>
    <w:p>
      <w:pPr>
        <w:jc w:val="both"/>
        <w:ind w:left="1260" w:right="679" w:firstLine="360"/>
        <w:spacing w:after="0" w:line="261" w:lineRule="auto"/>
        <w:rPr>
          <w:sz w:val="20"/>
          <w:szCs w:val="20"/>
          <w:color w:val="auto"/>
        </w:rPr>
      </w:pPr>
      <w:r>
        <w:rPr>
          <w:rFonts w:ascii="Arial" w:cs="Arial" w:eastAsia="Arial" w:hAnsi="Arial"/>
          <w:sz w:val="18"/>
          <w:szCs w:val="18"/>
          <w:color w:val="auto"/>
        </w:rPr>
        <w:t>The Sarbanes-Oxley Act imposes a wide variety of regulatory requirements on publicly held companies and their insiders. Many of these requirements affect us. For example:</w:t>
      </w:r>
    </w:p>
    <w:p>
      <w:pPr>
        <w:spacing w:after="0" w:line="63" w:lineRule="exact"/>
        <w:rPr>
          <w:sz w:val="20"/>
          <w:szCs w:val="20"/>
          <w:color w:val="auto"/>
        </w:rPr>
      </w:pPr>
    </w:p>
    <w:p>
      <w:pPr>
        <w:ind w:left="1800" w:right="679" w:hanging="178"/>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48"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62" w:lineRule="exact"/>
        <w:rPr>
          <w:rFonts w:ascii="Arial" w:cs="Arial" w:eastAsia="Arial" w:hAnsi="Arial"/>
          <w:sz w:val="18"/>
          <w:szCs w:val="18"/>
          <w:color w:val="auto"/>
        </w:rPr>
      </w:pPr>
    </w:p>
    <w:p>
      <w:pPr>
        <w:jc w:val="both"/>
        <w:ind w:left="1800" w:right="679" w:hanging="178"/>
        <w:spacing w:after="0" w:line="25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 report regarding its assessment of our internal control over financial reporting and, starting from the date on which we cease to be an emerging growth company under the JOBS Act, must obtain an audit of the effectiveness of internal control over financial reporting performed by our independent registered public accounting firm should we become an accelerated filer; and</w:t>
      </w:r>
    </w:p>
    <w:p>
      <w:pPr>
        <w:spacing w:after="0" w:line="66" w:lineRule="exact"/>
        <w:rPr>
          <w:rFonts w:ascii="Arial" w:cs="Arial" w:eastAsia="Arial" w:hAnsi="Arial"/>
          <w:sz w:val="18"/>
          <w:szCs w:val="18"/>
          <w:color w:val="auto"/>
        </w:rPr>
      </w:pPr>
    </w:p>
    <w:p>
      <w:pPr>
        <w:jc w:val="both"/>
        <w:ind w:left="1800" w:right="679" w:hanging="178"/>
        <w:spacing w:after="0" w:line="279" w:lineRule="auto"/>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spacing w:after="0" w:line="104" w:lineRule="exact"/>
        <w:rPr>
          <w:sz w:val="20"/>
          <w:szCs w:val="20"/>
          <w:color w:val="auto"/>
        </w:rPr>
      </w:pPr>
    </w:p>
    <w:p>
      <w:pPr>
        <w:jc w:val="both"/>
        <w:ind w:left="1260" w:right="679" w:firstLine="360"/>
        <w:spacing w:after="0" w:line="243"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62" w:lineRule="exact"/>
        <w:rPr>
          <w:sz w:val="20"/>
          <w:szCs w:val="20"/>
          <w:color w:val="auto"/>
        </w:rPr>
      </w:pPr>
    </w:p>
    <w:p>
      <w:pPr>
        <w:jc w:val="both"/>
        <w:ind w:left="1260" w:right="679" w:firstLine="360"/>
        <w:spacing w:after="0" w:line="243" w:lineRule="auto"/>
        <w:rPr>
          <w:sz w:val="20"/>
          <w:szCs w:val="20"/>
          <w:color w:val="auto"/>
        </w:rPr>
      </w:pPr>
      <w:r>
        <w:rPr>
          <w:rFonts w:ascii="Arial" w:cs="Arial" w:eastAsia="Arial" w:hAnsi="Arial"/>
          <w:sz w:val="18"/>
          <w:szCs w:val="18"/>
          <w:color w:val="auto"/>
        </w:rPr>
        <w:t>We have delegated our proxy voting responsibility to RGC. The Proxy Voting Policies and Procedures of RGC are set forth below. The guidelines will be reviewed periodically by RGC and our non-interested directors, and, accordingly, are subject to change. For purposes of the Proxy Voting Policies and Procedures described below, “we,” “our” and “us” refers to RGC.</w:t>
      </w:r>
    </w:p>
    <w:p>
      <w:pPr>
        <w:spacing w:after="0" w:line="107" w:lineRule="exact"/>
        <w:rPr>
          <w:sz w:val="20"/>
          <w:szCs w:val="20"/>
          <w:color w:val="auto"/>
        </w:rPr>
      </w:pPr>
    </w:p>
    <w:p>
      <w:pPr>
        <w:jc w:val="both"/>
        <w:ind w:left="1260" w:right="679" w:firstLine="360"/>
        <w:spacing w:after="0" w:line="248"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114" w:lineRule="exact"/>
        <w:rPr>
          <w:sz w:val="20"/>
          <w:szCs w:val="20"/>
          <w:color w:val="auto"/>
        </w:rPr>
      </w:pPr>
    </w:p>
    <w:p>
      <w:pPr>
        <w:jc w:val="both"/>
        <w:ind w:left="1260" w:right="679" w:firstLine="360"/>
        <w:spacing w:after="0" w:line="261"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Proxy Policies</w:t>
      </w:r>
    </w:p>
    <w:p>
      <w:pPr>
        <w:spacing w:after="0" w:line="158" w:lineRule="exact"/>
        <w:rPr>
          <w:sz w:val="20"/>
          <w:szCs w:val="20"/>
          <w:color w:val="auto"/>
        </w:rPr>
      </w:pPr>
    </w:p>
    <w:p>
      <w:pPr>
        <w:jc w:val="both"/>
        <w:ind w:left="1260" w:right="679" w:firstLine="360"/>
        <w:spacing w:after="0" w:line="241" w:lineRule="auto"/>
        <w:rPr>
          <w:sz w:val="20"/>
          <w:szCs w:val="20"/>
          <w:color w:val="auto"/>
        </w:rPr>
      </w:pPr>
      <w:r>
        <w:rPr>
          <w:rFonts w:ascii="Arial" w:cs="Arial" w:eastAsia="Arial" w:hAnsi="Arial"/>
          <w:sz w:val="18"/>
          <w:szCs w:val="18"/>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108" w:lineRule="exact"/>
        <w:rPr>
          <w:sz w:val="20"/>
          <w:szCs w:val="20"/>
          <w:color w:val="auto"/>
        </w:rPr>
      </w:pPr>
    </w:p>
    <w:p>
      <w:pPr>
        <w:jc w:val="both"/>
        <w:ind w:left="1260" w:right="659" w:firstLine="360"/>
        <w:spacing w:after="0" w:line="274" w:lineRule="auto"/>
        <w:rPr>
          <w:sz w:val="20"/>
          <w:szCs w:val="20"/>
          <w:color w:val="auto"/>
        </w:rPr>
      </w:pPr>
      <w:r>
        <w:rPr>
          <w:rFonts w:ascii="Arial" w:cs="Arial" w:eastAsia="Arial" w:hAnsi="Arial"/>
          <w:sz w:val="16"/>
          <w:szCs w:val="16"/>
          <w:color w:val="auto"/>
        </w:rPr>
        <w:t>Our proxy-voting decisions will be made by the senior officers who are responsible for monitoring each of our clients’ investments. To ensure that our vote is not the product of a conflict of interest, we will require that:</w:t>
      </w:r>
    </w:p>
    <w:p>
      <w:pPr>
        <w:spacing w:after="0" w:line="1" w:lineRule="exact"/>
        <w:rPr>
          <w:sz w:val="20"/>
          <w:szCs w:val="20"/>
          <w:color w:val="auto"/>
        </w:rPr>
      </w:pPr>
    </w:p>
    <w:p>
      <w:pPr>
        <w:ind w:left="1260" w:right="679" w:firstLine="2"/>
        <w:spacing w:after="0" w:line="303" w:lineRule="auto"/>
        <w:tabs>
          <w:tab w:leader="none" w:pos="152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anyone involved in the decision-making process disclose to our management any potential conflict that he or she is aware of and any contact that he or she has had with any interested party regarding a proxy vote; and</w:t>
      </w:r>
    </w:p>
    <w:p>
      <w:pPr>
        <w:spacing w:after="0" w:line="3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2"/>
        <w:spacing w:after="0" w:line="308" w:lineRule="auto"/>
        <w:tabs>
          <w:tab w:leader="none" w:pos="1521" w:val="left"/>
        </w:tabs>
        <w:numPr>
          <w:ilvl w:val="0"/>
          <w:numId w:val="26"/>
        </w:numPr>
        <w:rPr>
          <w:rFonts w:ascii="Arial" w:cs="Arial" w:eastAsia="Arial" w:hAnsi="Arial"/>
          <w:sz w:val="17"/>
          <w:szCs w:val="17"/>
          <w:color w:val="auto"/>
        </w:rPr>
      </w:pPr>
      <w:r>
        <w:rPr>
          <w:rFonts w:ascii="Arial" w:cs="Arial" w:eastAsia="Arial" w:hAnsi="Arial"/>
          <w:sz w:val="17"/>
          <w:szCs w:val="17"/>
          <w:color w:val="auto"/>
        </w:rPr>
        <w:t>employees involved in the decision-making process or vote administration are prohibited from revealing how we intend to vote on a proposal in order to reduce any attempted influence from interested parties.</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144" w:lineRule="exact"/>
        <w:rPr>
          <w:sz w:val="20"/>
          <w:szCs w:val="20"/>
          <w:color w:val="auto"/>
        </w:rPr>
      </w:pPr>
    </w:p>
    <w:p>
      <w:pPr>
        <w:jc w:val="both"/>
        <w:ind w:left="1260" w:right="679" w:firstLine="360"/>
        <w:spacing w:after="0" w:line="308" w:lineRule="auto"/>
        <w:rPr>
          <w:sz w:val="20"/>
          <w:szCs w:val="20"/>
          <w:color w:val="auto"/>
        </w:rPr>
      </w:pPr>
      <w:r>
        <w:rPr>
          <w:rFonts w:ascii="Arial" w:cs="Arial" w:eastAsia="Arial" w:hAnsi="Arial"/>
          <w:sz w:val="17"/>
          <w:szCs w:val="17"/>
          <w:color w:val="auto"/>
        </w:rPr>
        <w:t>You may obtain information about how we voted proxies by making a written request for proxy voting information to: Runway Growth Capital LLC, 205 N. Michigan Ave., Suite 4200, Chicago, IL 60601.</w:t>
      </w:r>
    </w:p>
    <w:p>
      <w:pPr>
        <w:spacing w:after="0" w:line="14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Privacy Principles</w:t>
      </w:r>
    </w:p>
    <w:p>
      <w:pPr>
        <w:spacing w:after="0" w:line="162"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19"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Pursuant to our privacy policy,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03" w:lineRule="exact"/>
        <w:rPr>
          <w:sz w:val="20"/>
          <w:szCs w:val="20"/>
          <w:color w:val="auto"/>
        </w:rPr>
      </w:pPr>
    </w:p>
    <w:p>
      <w:pPr>
        <w:jc w:val="both"/>
        <w:ind w:left="1260" w:right="659" w:firstLine="360"/>
        <w:spacing w:after="0" w:line="286" w:lineRule="auto"/>
        <w:rPr>
          <w:sz w:val="20"/>
          <w:szCs w:val="20"/>
          <w:color w:val="auto"/>
        </w:rPr>
      </w:pPr>
      <w:r>
        <w:rPr>
          <w:rFonts w:ascii="Arial" w:cs="Arial" w:eastAsia="Arial" w:hAnsi="Arial"/>
          <w:sz w:val="16"/>
          <w:szCs w:val="16"/>
          <w:color w:val="auto"/>
        </w:rPr>
        <w:t>We may collect non-public information about investors from our subscription agreements or other forms, such as name, address, account number and the types and amounts of investments, and information about transactions with us or our affiliates, such as participation in other investment programs, ownership of certain types of accounts or other account data and activity. We may disclose the information that we collect from our stockholders or former stockholders, as described above, only to our affiliates and service providers and only as allowed by applicable law or regulation. Any party that receives this information uses it only for the services required by us and as allowed by applicable law or regulation and is not permitted to share or use this information for any other purpose. To protect the non-public personal information of individuals, we restrict access to non-public personal information about our stockholders to employees of RGC and its affiliates with a legitimate business need for the information. In order to guard our stockholders’ non-public personal information, we maintain physical, electronic and procedural safeguards that are designed to comply with applicable law. Non-public personal information that we collect about our stockholders is generally stored on secured servers located in the United States. An individual stockholder’s right to privacy extends to all forms of contact with us, including telephone, written correspondence and electronic media, such as the Internet.</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Reporting Obligations</w:t>
      </w:r>
    </w:p>
    <w:p>
      <w:pPr>
        <w:spacing w:after="0" w:line="162"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We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19"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Our annual reports on Form 10-K, quarterly reports on Form 10-Q, current reports on Form 8-K, as well as reports on Forms 3, 4 and 5 regarding directors, officers or 10% beneficial owners of us, filed or furnished pursuant to section 13(a), 15(d) or 16(a) of the Exchange Act, are available on our website free of charge (https://runwaygrowth.com/document-center/).</w:t>
      </w:r>
    </w:p>
    <w:p>
      <w:pPr>
        <w:spacing w:after="0" w:line="106" w:lineRule="exact"/>
        <w:rPr>
          <w:sz w:val="20"/>
          <w:szCs w:val="20"/>
          <w:color w:val="auto"/>
        </w:rPr>
      </w:pPr>
    </w:p>
    <w:p>
      <w:pPr>
        <w:jc w:val="both"/>
        <w:ind w:left="1260" w:right="679" w:firstLine="360"/>
        <w:spacing w:after="0" w:line="277" w:lineRule="auto"/>
        <w:rPr>
          <w:sz w:val="20"/>
          <w:szCs w:val="20"/>
          <w:color w:val="auto"/>
        </w:rPr>
      </w:pPr>
      <w:r>
        <w:rPr>
          <w:rFonts w:ascii="Arial" w:cs="Arial" w:eastAsia="Arial" w:hAnsi="Arial"/>
          <w:sz w:val="18"/>
          <w:szCs w:val="18"/>
          <w:color w:val="auto"/>
        </w:rPr>
        <w:t>Stockholders and the public may also view any materials we file with the SEC on the SEC’s website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jc w:val="both"/>
        <w:ind w:left="1260" w:right="679" w:firstLine="360"/>
        <w:spacing w:after="0" w:line="296" w:lineRule="auto"/>
        <w:rPr>
          <w:sz w:val="20"/>
          <w:szCs w:val="20"/>
          <w:color w:val="auto"/>
        </w:rPr>
      </w:pPr>
      <w:r>
        <w:rPr>
          <w:rFonts w:ascii="Arial" w:cs="Arial" w:eastAsia="Arial" w:hAnsi="Arial"/>
          <w:sz w:val="16"/>
          <w:szCs w:val="16"/>
          <w:color w:val="auto"/>
        </w:rPr>
        <w:t>An investment in our securities involves certain risks relating to our structure and investment objective. The risks set forth below are not the only risks we face, and we may face other risks that we have not yet identified, which we do not currently deem material or which are not yet predictable. If any of the following risks occur, our business, financial condition and results of operations could be materially adversely affected. In such case, our net asset value and the price of our common stock could decline, and you may lose all or part of your investment.</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229" w:lineRule="exact"/>
        <w:rPr>
          <w:sz w:val="20"/>
          <w:szCs w:val="20"/>
          <w:color w:val="auto"/>
        </w:rPr>
      </w:pPr>
    </w:p>
    <w:p>
      <w:pPr>
        <w:jc w:val="both"/>
        <w:ind w:left="1260" w:right="679"/>
        <w:spacing w:after="0" w:line="286" w:lineRule="auto"/>
        <w:rPr>
          <w:sz w:val="20"/>
          <w:szCs w:val="20"/>
          <w:color w:val="auto"/>
        </w:rPr>
      </w:pPr>
      <w:r>
        <w:rPr>
          <w:rFonts w:ascii="Arial" w:cs="Arial" w:eastAsia="Arial" w:hAnsi="Arial"/>
          <w:sz w:val="17"/>
          <w:szCs w:val="17"/>
          <w:b w:val="1"/>
          <w:bCs w:val="1"/>
          <w:i w:val="1"/>
          <w:iCs w:val="1"/>
          <w:color w:val="auto"/>
        </w:rPr>
        <w:t>Our investment portfolio is recorded at fair value, with our Board of Directors having final responsibility for overseeing, reviewing and determining, in good faith, the fair value of our investment portfolio and, as a result, there is uncertainty as to the value of our portfolio investments.</w:t>
      </w:r>
    </w:p>
    <w:p>
      <w:pPr>
        <w:spacing w:after="0" w:line="98" w:lineRule="exact"/>
        <w:rPr>
          <w:sz w:val="20"/>
          <w:szCs w:val="20"/>
          <w:color w:val="auto"/>
        </w:rPr>
      </w:pPr>
    </w:p>
    <w:p>
      <w:pPr>
        <w:jc w:val="both"/>
        <w:ind w:left="1260" w:right="679" w:firstLine="360"/>
        <w:spacing w:after="0" w:line="272" w:lineRule="auto"/>
        <w:rPr>
          <w:sz w:val="20"/>
          <w:szCs w:val="20"/>
          <w:color w:val="auto"/>
        </w:rPr>
      </w:pPr>
      <w:r>
        <w:rPr>
          <w:rFonts w:ascii="Arial" w:cs="Arial" w:eastAsia="Arial" w:hAnsi="Arial"/>
          <w:sz w:val="17"/>
          <w:szCs w:val="17"/>
          <w:color w:val="auto"/>
        </w:rPr>
        <w:t>Under the 1940 Act, we are required to carry our portfolio investments at market value or, if there is no readily available market value, at fair value as determined by us with our Board of Directors having final responsibility for overseeing, reviewing and approving, in good faith, our estimate of fair value. Typically, there will not be a public market for the securities of the privately held companies in which we invest. As a result, we value these securities quarterly at fair value based on input from management, a third-party independent valuation firm and the audit committee of our Board of Directors (the “Audit Committee”) and with the oversight, review and approval of our Board of Directors.</w:t>
      </w:r>
    </w:p>
    <w:p>
      <w:pPr>
        <w:spacing w:after="0" w:line="110"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6"/>
          <w:szCs w:val="16"/>
          <w:color w:val="auto"/>
        </w:rPr>
        <w:t>The determination of fair value and consequently, the amount of unrealized gains and losses in our portfolio, are to a certain degree, subjective and dependent on a valuation process approved by our Board of Directors.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determinations of fair value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of our common stock during a period in which the net asset value understates the value of our investments will receive a lower price for their shares of our common stock than the value of our investments might warrant.</w:t>
      </w:r>
    </w:p>
    <w:p>
      <w:pPr>
        <w:spacing w:after="0" w:line="174" w:lineRule="exact"/>
        <w:rPr>
          <w:sz w:val="20"/>
          <w:szCs w:val="20"/>
          <w:color w:val="auto"/>
        </w:rPr>
      </w:pPr>
    </w:p>
    <w:p>
      <w:pPr>
        <w:jc w:val="both"/>
        <w:ind w:left="1260" w:right="679"/>
        <w:spacing w:after="0" w:line="277" w:lineRule="auto"/>
        <w:rPr>
          <w:sz w:val="20"/>
          <w:szCs w:val="20"/>
          <w:color w:val="auto"/>
        </w:rPr>
      </w:pPr>
      <w:r>
        <w:rPr>
          <w:rFonts w:ascii="Arial" w:cs="Arial" w:eastAsia="Arial" w:hAnsi="Arial"/>
          <w:sz w:val="18"/>
          <w:szCs w:val="18"/>
          <w:b w:val="1"/>
          <w:bCs w:val="1"/>
          <w:i w:val="1"/>
          <w:iCs w:val="1"/>
          <w:color w:val="auto"/>
        </w:rPr>
        <w:t>Our financial condition and results of operations depend on our ability to effectively manage and deploy capital.</w:t>
      </w:r>
    </w:p>
    <w:p>
      <w:pPr>
        <w:spacing w:after="0" w:line="89"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Our ability to achieve our investment objective depends on our ability to effectively manage and deploy capital, which depends, in turn, on RGC’s ability to identify, originate, evaluate and monitor, and our ability to finance and invest in, companies that meet our investment criteria.</w:t>
      </w:r>
    </w:p>
    <w:p>
      <w:pPr>
        <w:spacing w:after="0" w:line="116" w:lineRule="exact"/>
        <w:rPr>
          <w:sz w:val="20"/>
          <w:szCs w:val="20"/>
          <w:color w:val="auto"/>
        </w:rPr>
      </w:pPr>
    </w:p>
    <w:p>
      <w:pPr>
        <w:jc w:val="both"/>
        <w:ind w:left="1260" w:right="679" w:firstLine="360"/>
        <w:spacing w:after="0" w:line="273" w:lineRule="auto"/>
        <w:rPr>
          <w:sz w:val="20"/>
          <w:szCs w:val="20"/>
          <w:color w:val="auto"/>
        </w:rPr>
      </w:pPr>
      <w:r>
        <w:rPr>
          <w:rFonts w:ascii="Arial" w:cs="Arial" w:eastAsia="Arial" w:hAnsi="Arial"/>
          <w:sz w:val="17"/>
          <w:szCs w:val="17"/>
          <w:color w:val="auto"/>
        </w:rPr>
        <w:t>Accomplishing our investment objective on a cost-effective basis is largely be a function of RGC’s handling of the investment process, its ability to provide competent, attentive and efficient services and our access to investments offering acceptable terms. In addition to monitoring the performance of our existing investments and other responsibilities under the Amended Advisory Agreement, RGC’s investment team may also be called upon, from time to time, to provide managerial assistance to some of our portfolio companies. These demands on their time may distract them or slow the rate of investment.</w:t>
      </w:r>
    </w:p>
    <w:p>
      <w:pPr>
        <w:spacing w:after="0" w:line="110" w:lineRule="exact"/>
        <w:rPr>
          <w:sz w:val="20"/>
          <w:szCs w:val="20"/>
          <w:color w:val="auto"/>
        </w:rPr>
      </w:pPr>
    </w:p>
    <w:p>
      <w:pPr>
        <w:jc w:val="both"/>
        <w:ind w:left="1260" w:right="679" w:firstLine="360"/>
        <w:spacing w:after="0" w:line="273" w:lineRule="auto"/>
        <w:rPr>
          <w:sz w:val="20"/>
          <w:szCs w:val="20"/>
          <w:color w:val="auto"/>
        </w:rPr>
      </w:pPr>
      <w:r>
        <w:rPr>
          <w:rFonts w:ascii="Arial" w:cs="Arial" w:eastAsia="Arial" w:hAnsi="Arial"/>
          <w:sz w:val="17"/>
          <w:szCs w:val="17"/>
          <w:color w:val="auto"/>
        </w:rPr>
        <w:t>Even if we are able to grow and build upon our investment portfolio, any failure to manage our growth effectively could have a material adverse effect on our business, financial condition, results of operations and prospects. Our results of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dividends.</w:t>
      </w:r>
    </w:p>
    <w:p>
      <w:pPr>
        <w:spacing w:after="0" w:line="3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i w:val="1"/>
          <w:iCs w:val="1"/>
          <w:color w:val="auto"/>
        </w:rPr>
        <w:t>We operate in a highly competitive market for investment opportunities and we may not be able to compete effectively.</w:t>
      </w:r>
    </w:p>
    <w:p>
      <w:pPr>
        <w:spacing w:after="0" w:line="90" w:lineRule="exact"/>
        <w:rPr>
          <w:sz w:val="20"/>
          <w:szCs w:val="20"/>
          <w:color w:val="auto"/>
        </w:rPr>
      </w:pPr>
    </w:p>
    <w:p>
      <w:pPr>
        <w:jc w:val="both"/>
        <w:ind w:left="1260" w:right="679" w:firstLine="360"/>
        <w:spacing w:after="0" w:line="267" w:lineRule="auto"/>
        <w:rPr>
          <w:sz w:val="20"/>
          <w:szCs w:val="20"/>
          <w:color w:val="auto"/>
        </w:rPr>
      </w:pPr>
      <w:r>
        <w:rPr>
          <w:rFonts w:ascii="Arial" w:cs="Arial" w:eastAsia="Arial" w:hAnsi="Arial"/>
          <w:sz w:val="16"/>
          <w:szCs w:val="16"/>
          <w:color w:val="auto"/>
        </w:rPr>
        <w:t>Our competitors include both existing and newly formed equity and debt focused public and private funds, other BDCs, investment banks, venture-oriented commercial banks, commercial financing companies and, to the extent they provide an alternative form of financing, private equity and hedge funds. Many of our competitors are substantially larger and have considerably greater financial, technical and marketing resources than us. For example, some competitors may have a lower cost of capital and access to funding sources that are not available to us. In addition, some of our competitors may have higher risk tolerances or different risk assessments than we have. Furthermore, many of our competitors are not subject to the regulatory restrictions that the 1940 Act imposes on us as a BDC or to the distribution and other requirements we must satisfy to maintain our ability to be subject to taxation as a RIC. These characteristics could allow our competitors to consider a wider variety of investments, establish more relationships and offer better pricing and more flexible structuring than we are able to offer. In recent years, substantial investor capital has been allocated the private credit and direct lending asset classes, creating and increasing competition among lenders. Increased competition across all segments of the private credit and direct lending markets, has reduced credit spreads, and along with very low historically low interest rates, has reduced investment yields and resulted in more borrower friendly terms and conditions. New competitors, including established private credit platforms in other segments, have entered the sponsored and non-sponsored growth lending market and a similar competitive dynamic is possible. While their entry may or may not be permanent, their entry could lead to competitive pressure on our investment yields and other terms and conditions in the short-term.</w:t>
      </w:r>
    </w:p>
    <w:p>
      <w:pPr>
        <w:spacing w:after="0" w:line="314"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7"/>
          <w:szCs w:val="17"/>
          <w:color w:val="auto"/>
        </w:rPr>
        <w:t>The competitive pressures we face may have a material adverse effect on our financial condition, results of operations and cash flows. We do not compete primarily on the financing terms we offer and believe that some competitors make loans with rates that are comparable or lower than our rates. We may lose some investment opportunities if we do not match our competitors’ pricing, terms and structure. However, if we match our competitors’ pricing, terms and structure, we may experience decreased net interest income, lower yields and increased risk of credit loss. As a result of this competition, we may not be able to take advantage of attractive investment opportunities from time to time, and we may not be able to identify and make investments that are consistent with our investment objective.</w:t>
      </w:r>
    </w:p>
    <w:p>
      <w:pPr>
        <w:spacing w:after="0" w:line="181"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b w:val="1"/>
          <w:bCs w:val="1"/>
          <w:i w:val="1"/>
          <w:iCs w:val="1"/>
          <w:color w:val="auto"/>
        </w:rPr>
        <w:t>Our business model depends to a significant extent upon strong referral relationships. Any inability of RGC to maintain or develop these relationships, or the failure of these relationships to generate investment opportunities, could adversely affect our business.</w:t>
      </w:r>
    </w:p>
    <w:p>
      <w:pPr>
        <w:spacing w:after="0" w:line="114" w:lineRule="exact"/>
        <w:rPr>
          <w:sz w:val="20"/>
          <w:szCs w:val="20"/>
          <w:color w:val="auto"/>
        </w:rPr>
      </w:pPr>
    </w:p>
    <w:p>
      <w:pPr>
        <w:jc w:val="both"/>
        <w:ind w:left="1260" w:right="679" w:firstLine="360"/>
        <w:spacing w:after="0" w:line="272" w:lineRule="auto"/>
        <w:rPr>
          <w:sz w:val="20"/>
          <w:szCs w:val="20"/>
          <w:color w:val="auto"/>
        </w:rPr>
      </w:pPr>
      <w:r>
        <w:rPr>
          <w:rFonts w:ascii="Arial" w:cs="Arial" w:eastAsia="Arial" w:hAnsi="Arial"/>
          <w:sz w:val="17"/>
          <w:szCs w:val="17"/>
          <w:color w:val="auto"/>
        </w:rPr>
        <w:t>We depend upon RGC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RGC fails to maintain such relationships, or to develop new relationships with other sources of investment opportunities, we may not be able to grow our investment portfolio. In addition, individuals with whom RGC has relationships are not obligated to provide us with investment opportunities, and we can offer no assurance that these relationships will generate investment opportunities for us in the future.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dependent upon RGC’s key personnel for our future success.</w:t>
      </w:r>
    </w:p>
    <w:p>
      <w:pPr>
        <w:spacing w:after="0" w:line="144" w:lineRule="exact"/>
        <w:rPr>
          <w:sz w:val="20"/>
          <w:szCs w:val="20"/>
          <w:color w:val="auto"/>
        </w:rPr>
      </w:pPr>
    </w:p>
    <w:p>
      <w:pPr>
        <w:jc w:val="both"/>
        <w:ind w:left="1260" w:right="679" w:firstLine="360"/>
        <w:spacing w:after="0" w:line="269" w:lineRule="auto"/>
        <w:rPr>
          <w:sz w:val="20"/>
          <w:szCs w:val="20"/>
          <w:color w:val="auto"/>
        </w:rPr>
      </w:pPr>
      <w:r>
        <w:rPr>
          <w:rFonts w:ascii="Arial" w:cs="Arial" w:eastAsia="Arial" w:hAnsi="Arial"/>
          <w:sz w:val="17"/>
          <w:szCs w:val="17"/>
          <w:color w:val="auto"/>
        </w:rPr>
        <w:t>We depend on the diligence, skill and investment acumen of R. David Spreng, our President, Chief Executive Officer and the Chairman of our Board of Directors, along with the other investment professionals at RGC, including our Chief Financial Officer, Thomas Raterman. Mr. Spreng also serves as the President, Chief Executive Officer and Chief Investment Officer of RGC, and the Chairman of its Investment Committee. Mr. Spreng, Mr. Raterman and the other members of RGC’s senior management evaluate, negotiate, structure, close and monitor our investments. Our future success depends on the continued service of these members of RGC’s senior management. We cannot assure you that unforeseen business, medical, personal or other circumstances would not lead any such individual to terminate his or her relationship with us. The loss of Mr. Spreng, in particular, Mr. Raterman and/or any of the other members of RGC’s senior management could have a material adverse effect on our ability to achieve our investment objective as well as on our financial condition and results of operations. In addition, we can offer no assurance that RGC will continue indefinitely as RGC.</w:t>
      </w:r>
    </w:p>
    <w:p>
      <w:pPr>
        <w:spacing w:after="0" w:line="36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59" w:firstLine="360"/>
        <w:spacing w:after="0" w:line="254" w:lineRule="auto"/>
        <w:rPr>
          <w:sz w:val="20"/>
          <w:szCs w:val="20"/>
          <w:color w:val="auto"/>
        </w:rPr>
      </w:pPr>
      <w:r>
        <w:rPr>
          <w:rFonts w:ascii="Arial" w:cs="Arial" w:eastAsia="Arial" w:hAnsi="Arial"/>
          <w:sz w:val="17"/>
          <w:szCs w:val="17"/>
          <w:color w:val="auto"/>
        </w:rPr>
        <w:t>The members of RGC’s senior management are and may in the future become affiliated with entities engaged in business activities similar to those intended to be conducted by us, and may have conflicts of interest in allocating their time. RGC may also manage and sub-advise private investment funds and accounts, and may manage other such funds and accounts in the future, which have investment mandates that are similar, in whole and in part, with ours. Accordingly, RGC’s senior management may have obligations to investors in those entities, the fulfillment of which might not be in the best interests of us or our stockholders. For example, RGC’s senior management may face conflicts of interest in the allocation of investment opportunities to us and such other future funds and accounts.</w:t>
      </w:r>
    </w:p>
    <w:p>
      <w:pPr>
        <w:spacing w:after="0" w:line="181" w:lineRule="exact"/>
        <w:rPr>
          <w:sz w:val="20"/>
          <w:szCs w:val="20"/>
          <w:color w:val="auto"/>
        </w:rPr>
      </w:pPr>
    </w:p>
    <w:p>
      <w:pPr>
        <w:jc w:val="both"/>
        <w:ind w:left="1260" w:right="679"/>
        <w:spacing w:after="0" w:line="277" w:lineRule="auto"/>
        <w:rPr>
          <w:sz w:val="20"/>
          <w:szCs w:val="20"/>
          <w:color w:val="auto"/>
        </w:rPr>
      </w:pPr>
      <w:r>
        <w:rPr>
          <w:rFonts w:ascii="Arial" w:cs="Arial" w:eastAsia="Arial" w:hAnsi="Arial"/>
          <w:sz w:val="18"/>
          <w:szCs w:val="18"/>
          <w:b w:val="1"/>
          <w:bCs w:val="1"/>
          <w:i w:val="1"/>
          <w:iCs w:val="1"/>
          <w:color w:val="auto"/>
        </w:rPr>
        <w:t>Our success depends on the ability of RGC to attract and retain qualified personnel in a competitive environment.</w:t>
      </w:r>
    </w:p>
    <w:p>
      <w:pPr>
        <w:spacing w:after="0" w:line="89" w:lineRule="exact"/>
        <w:rPr>
          <w:sz w:val="20"/>
          <w:szCs w:val="20"/>
          <w:color w:val="auto"/>
        </w:rPr>
      </w:pPr>
    </w:p>
    <w:p>
      <w:pPr>
        <w:jc w:val="both"/>
        <w:ind w:left="1260" w:right="679" w:firstLine="360"/>
        <w:spacing w:after="0"/>
        <w:rPr>
          <w:sz w:val="20"/>
          <w:szCs w:val="20"/>
          <w:color w:val="auto"/>
        </w:rPr>
      </w:pPr>
      <w:r>
        <w:rPr>
          <w:rFonts w:ascii="Arial" w:cs="Arial" w:eastAsia="Arial" w:hAnsi="Arial"/>
          <w:sz w:val="18"/>
          <w:szCs w:val="18"/>
          <w:color w:val="auto"/>
        </w:rPr>
        <w:t>Our growth requires that RGC retains and attracts new investment and administrative personnel in a competitive market. Its ability to attract and retain personnel with the requisite credentials, experience and skills depends on several factors including, but not limited to, its ability to offer competitive wages, benefits and professional growth opportunities. Many of the entities, including investment funds (such as private equity funds and mezzanine funds) and traditional financial services companies, with which RGC competes for experienced personnel have greater resources than it has.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158" w:lineRule="exact"/>
        <w:rPr>
          <w:sz w:val="20"/>
          <w:szCs w:val="20"/>
          <w:color w:val="auto"/>
        </w:rPr>
      </w:pPr>
    </w:p>
    <w:p>
      <w:pPr>
        <w:jc w:val="both"/>
        <w:ind w:left="1260" w:right="659" w:firstLine="360"/>
        <w:spacing w:after="0" w:line="254" w:lineRule="auto"/>
        <w:rPr>
          <w:sz w:val="20"/>
          <w:szCs w:val="20"/>
          <w:color w:val="auto"/>
        </w:rPr>
      </w:pPr>
      <w:r>
        <w:rPr>
          <w:rFonts w:ascii="Arial" w:cs="Arial" w:eastAsia="Arial" w:hAnsi="Arial"/>
          <w:sz w:val="17"/>
          <w:szCs w:val="17"/>
          <w:color w:val="auto"/>
        </w:rPr>
        <w:t>Mr. Spreng currently serves as Managing Partner of Crescendo Ventures IV, LLC, which he co-founded in 1998 as a venture capital firm focused on early-stage investments in the technology, digital media and technology-enabled service markets. In addition, our executive officers and directors, as well as the current and future members of RGC,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However, RGC’s core investment team does not have a present intent to advise or manage another BDC with an investment strategy that is substantially similar to our investment strategy.</w:t>
      </w:r>
    </w:p>
    <w:p>
      <w:pPr>
        <w:spacing w:after="0" w:line="113" w:lineRule="exact"/>
        <w:rPr>
          <w:sz w:val="20"/>
          <w:szCs w:val="20"/>
          <w:color w:val="auto"/>
        </w:rPr>
      </w:pPr>
    </w:p>
    <w:p>
      <w:pPr>
        <w:jc w:val="both"/>
        <w:ind w:left="1260" w:right="679" w:firstLine="360"/>
        <w:spacing w:after="0" w:line="279" w:lineRule="auto"/>
        <w:rPr>
          <w:sz w:val="20"/>
          <w:szCs w:val="20"/>
          <w:color w:val="auto"/>
        </w:rPr>
      </w:pPr>
      <w:r>
        <w:rPr>
          <w:rFonts w:ascii="Arial" w:cs="Arial" w:eastAsia="Arial" w:hAnsi="Arial"/>
          <w:sz w:val="16"/>
          <w:szCs w:val="16"/>
          <w:color w:val="auto"/>
        </w:rPr>
        <w:t>In the course of our investing activities, we pay management and incentive fees to RGC and reimburse our Administrator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RGC will have interests that differ from those of our stockholders, giving rise to a conflict.</w:t>
      </w:r>
    </w:p>
    <w:p>
      <w:pPr>
        <w:spacing w:after="0" w:line="78"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7"/>
          <w:szCs w:val="17"/>
          <w:color w:val="auto"/>
        </w:rPr>
        <w:t>We entered into a license agreement with RGC (the “License Agreement”) pursuant to which RGC has granted us a personal, non-exclusive, royalty-free right and license to use the name “Runway Growth Credit Fund”. Under the License Agreement, we have the right to use the “Runway Growth Credit Fund” name for so long as RGC or one of its affiliates remains our investment adviser. Other than with respect to this limited license, we have no legal right to the “Runway Growth Credit Fund” name.</w:t>
      </w:r>
    </w:p>
    <w:p>
      <w:pPr>
        <w:spacing w:after="0" w:line="106" w:lineRule="exact"/>
        <w:rPr>
          <w:sz w:val="20"/>
          <w:szCs w:val="20"/>
          <w:color w:val="auto"/>
        </w:rPr>
      </w:pPr>
    </w:p>
    <w:p>
      <w:pPr>
        <w:jc w:val="both"/>
        <w:ind w:left="1260" w:right="679" w:firstLine="360"/>
        <w:spacing w:after="0" w:line="262" w:lineRule="auto"/>
        <w:rPr>
          <w:sz w:val="20"/>
          <w:szCs w:val="20"/>
          <w:color w:val="auto"/>
        </w:rPr>
      </w:pPr>
      <w:r>
        <w:rPr>
          <w:rFonts w:ascii="Arial" w:cs="Arial" w:eastAsia="Arial" w:hAnsi="Arial"/>
          <w:sz w:val="17"/>
          <w:szCs w:val="17"/>
          <w:color w:val="auto"/>
        </w:rPr>
        <w:t>In addition, we pay our Administrator, a wholly-owned subsidiary of RGC, our allocable portion of overhead and other expenses incurred by our Administrator in performing its obligations under the Administration Agreement, including rent, the fees and expenses associated with performing compliance functions. These arrangements may create conflicts of interest that our Board of Directors must monitor.</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strategic relationship with Oaktree may create conflicts of interest.</w:t>
      </w:r>
    </w:p>
    <w:p>
      <w:pPr>
        <w:spacing w:after="0" w:line="158" w:lineRule="exact"/>
        <w:rPr>
          <w:sz w:val="20"/>
          <w:szCs w:val="20"/>
          <w:color w:val="auto"/>
        </w:rPr>
      </w:pPr>
    </w:p>
    <w:p>
      <w:pPr>
        <w:jc w:val="both"/>
        <w:ind w:left="1260" w:right="679" w:firstLine="360"/>
        <w:spacing w:after="0" w:line="253" w:lineRule="auto"/>
        <w:rPr>
          <w:sz w:val="20"/>
          <w:szCs w:val="20"/>
          <w:color w:val="auto"/>
        </w:rPr>
      </w:pPr>
      <w:r>
        <w:rPr>
          <w:rFonts w:ascii="Arial" w:cs="Arial" w:eastAsia="Arial" w:hAnsi="Arial"/>
          <w:sz w:val="17"/>
          <w:szCs w:val="17"/>
          <w:color w:val="auto"/>
        </w:rPr>
        <w:t>OCM made the $139.0 million Initial OCM Commitment in connection with the Initial Private Offering and the $112.5 Subsequent OCM Commitment in connection with the Second Private Offering. As of March 19, 2020, OCM owned approximately 55% of our outstanding common stock. In addition, OCM holds an interest in RGC. In connection with our strategic relationship with Oaktree, OCM has a right to nominate an individual for election to our Board of Directors. If at any time, OCM has not nominated for election a member of our Board of Directors and/or a nominated director has not yet been elected, OCM will maintain board observation rights. OCM’s initial appointee to our Board of Directors is Brian Laibow. Mr. Laibow has also been appointed to the board of managers and Investment Committee of RGC. Mr. Laibow is an employee of Oaktree and we expect that he will continue to engage in investment advisory activities for Oaktree, which could result in a conflict of interest and may distract him from his responsibilities to us and RGC.</w:t>
      </w: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7"/>
          <w:szCs w:val="17"/>
          <w:color w:val="auto"/>
        </w:rPr>
        <w:t>As a result of the relationship with Oaktree and OCM, we are presumed to be an affiliate of Oaktree and OCM under the 1940 Act. As a result, we are not able to invest in the same portfolio companies in which any funds managed by Oaktree or OCM invest without seeking exemptive relief from the SEC.</w:t>
      </w:r>
    </w:p>
    <w:p>
      <w:pPr>
        <w:spacing w:after="0" w:line="164"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b w:val="1"/>
          <w:bCs w:val="1"/>
          <w:i w:val="1"/>
          <w:iCs w:val="1"/>
          <w:color w:val="auto"/>
        </w:rPr>
        <w:t>The compensation we pay to RGC and our Administrator was not determined on an arm’s -length basis. Thus, the terms of such compensation may be less advantageous to us than if such terms had been the subject of arm’s-length negotiations.</w:t>
      </w:r>
    </w:p>
    <w:p>
      <w:pPr>
        <w:spacing w:after="0" w:line="101" w:lineRule="exact"/>
        <w:rPr>
          <w:sz w:val="20"/>
          <w:szCs w:val="20"/>
          <w:color w:val="auto"/>
        </w:rPr>
      </w:pPr>
    </w:p>
    <w:p>
      <w:pPr>
        <w:jc w:val="both"/>
        <w:ind w:left="1260" w:right="679" w:firstLine="360"/>
        <w:spacing w:after="0" w:line="274" w:lineRule="auto"/>
        <w:rPr>
          <w:sz w:val="20"/>
          <w:szCs w:val="20"/>
          <w:color w:val="auto"/>
        </w:rPr>
      </w:pPr>
      <w:r>
        <w:rPr>
          <w:rFonts w:ascii="Arial" w:cs="Arial" w:eastAsia="Arial" w:hAnsi="Arial"/>
          <w:sz w:val="16"/>
          <w:szCs w:val="16"/>
          <w:color w:val="auto"/>
        </w:rPr>
        <w:t>The compensation we pay to RGC and our Administrator was not determined on an arm’s-length basis with an unaffiliated third party. As a result, the form and amount of such compensation may be less favorable to us than they might have been had the respective agreements been entered into through arm’s-length transactions with an unaffiliated third party. In addition, we may choose not to enforce, or to enforce less vigorously, our respective rights and remedies under the Amended Advisory Agreement and the Administration Agreement because of our desire to maintain our ongoing relationship with RGC, our Administrator and their respective affiliates. Any such decision, however, could cause us to breach our fiduciary obligations to our stockholders.</w:t>
      </w:r>
    </w:p>
    <w:p>
      <w:pPr>
        <w:spacing w:after="0" w:line="163"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i w:val="1"/>
          <w:iCs w:val="1"/>
          <w:color w:val="auto"/>
        </w:rPr>
        <w:t>Our management fee and incentive fee may induce RGC to purchase assets with borrowed funds and to use leverage when it may be unwise to do so.</w:t>
      </w:r>
    </w:p>
    <w:p>
      <w:pPr>
        <w:spacing w:after="0" w:line="103"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7"/>
          <w:szCs w:val="17"/>
          <w:color w:val="auto"/>
        </w:rPr>
        <w:t>The management fee and the incentive fee payable by us to RGC may create an incentive for RGC to purchase assets with borrowed funds when it is unwise to do so or to pursue investments on our behalf that are riskier or more speculative than would be the case in the absence of such compensation arrangement. The management fee payable to RGC is calculated based on the amount of our gross assets which includes assets purchased with borrowed funds or other forms of leverage. The incentive fee payable to RGC is calculated based on a percentage of our return on invested capital. The incentive fee arrangement may encourage RGC to use leverage to increase the return on our investments. Under certain circumstances, the use of leverage may increase the likelihood of default, which would impair the value of our common stock.</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The capital gains portion of our incentive fee may induce RGC to make speculative investments.</w:t>
      </w:r>
    </w:p>
    <w:p>
      <w:pPr>
        <w:spacing w:after="0" w:line="169" w:lineRule="exact"/>
        <w:rPr>
          <w:sz w:val="20"/>
          <w:szCs w:val="20"/>
          <w:color w:val="auto"/>
        </w:rPr>
      </w:pPr>
    </w:p>
    <w:p>
      <w:pPr>
        <w:jc w:val="both"/>
        <w:ind w:left="1260" w:right="679" w:firstLine="360"/>
        <w:spacing w:after="0" w:line="255" w:lineRule="auto"/>
        <w:rPr>
          <w:sz w:val="20"/>
          <w:szCs w:val="20"/>
          <w:color w:val="auto"/>
        </w:rPr>
      </w:pPr>
      <w:r>
        <w:rPr>
          <w:rFonts w:ascii="Arial" w:cs="Arial" w:eastAsia="Arial" w:hAnsi="Arial"/>
          <w:sz w:val="17"/>
          <w:szCs w:val="17"/>
          <w:color w:val="auto"/>
        </w:rPr>
        <w:t>RGC receives the incentive fee based, in part, upon net capital gains realized on our investments. Under the incentive fee structure, RGC may benefit when we recognize capital gains and, because RGC, in certain circumstances, will determine when to sell a holding, RGC will control the timing of the recognition of such capital gains. As a result, in certain situations RGC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80"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i w:val="1"/>
          <w:iCs w:val="1"/>
          <w:color w:val="auto"/>
        </w:rPr>
        <w:t>A general increase in interest rates will likely have the effect of making it easier for RGC to receive incentive fees, without necessarily resulting in an increase in our net earnings.</w:t>
      </w:r>
    </w:p>
    <w:p>
      <w:pPr>
        <w:spacing w:after="0" w:line="90" w:lineRule="exact"/>
        <w:rPr>
          <w:sz w:val="20"/>
          <w:szCs w:val="20"/>
          <w:color w:val="auto"/>
        </w:rPr>
      </w:pPr>
    </w:p>
    <w:p>
      <w:pPr>
        <w:jc w:val="both"/>
        <w:ind w:left="1260" w:right="679" w:firstLine="360"/>
        <w:spacing w:after="0" w:line="238" w:lineRule="auto"/>
        <w:rPr>
          <w:sz w:val="20"/>
          <w:szCs w:val="20"/>
          <w:color w:val="auto"/>
        </w:rPr>
      </w:pPr>
      <w:r>
        <w:rPr>
          <w:rFonts w:ascii="Arial" w:cs="Arial" w:eastAsia="Arial" w:hAnsi="Arial"/>
          <w:sz w:val="18"/>
          <w:szCs w:val="18"/>
          <w:color w:val="auto"/>
        </w:rPr>
        <w:t>Given the structure of the Amended Advisory Agreement, any general increase in interest rates can be expected to lead to higher interest rates applicable to our debt investments and will likely have the effect of making it easier for RGC to meet the quarterly hurdle rate for payment of income incentive fees under the Amended Advisory Agreement without any additional increase in relative performance on the part of RGC. This may occur without a corresponding increase in distributions to our stockholders. In addition, in view of the catch-up provision applicable to income incentive fees under the Amended Advisory Agreement, RGC could potentially receive a significant portion of the increase in our investment income attributable to such a general increase in interest rates. If that were to occur, our increase in net earnings, if any, would likely be significantly smaller than the relative increase in RGC’s income incentive fee resulting from such a general increase in interest rates.</w:t>
      </w:r>
    </w:p>
    <w:p>
      <w:pPr>
        <w:spacing w:after="0" w:line="188" w:lineRule="exact"/>
        <w:rPr>
          <w:sz w:val="20"/>
          <w:szCs w:val="20"/>
          <w:color w:val="auto"/>
        </w:rPr>
      </w:pPr>
    </w:p>
    <w:p>
      <w:pPr>
        <w:jc w:val="both"/>
        <w:ind w:left="1260" w:right="679"/>
        <w:spacing w:after="0" w:line="294" w:lineRule="auto"/>
        <w:rPr>
          <w:sz w:val="20"/>
          <w:szCs w:val="20"/>
          <w:color w:val="auto"/>
        </w:rPr>
      </w:pPr>
      <w:r>
        <w:rPr>
          <w:rFonts w:ascii="Arial" w:cs="Arial" w:eastAsia="Arial" w:hAnsi="Arial"/>
          <w:sz w:val="16"/>
          <w:szCs w:val="16"/>
          <w:b w:val="1"/>
          <w:bCs w:val="1"/>
          <w:i w:val="1"/>
          <w:iCs w:val="1"/>
          <w:color w:val="auto"/>
        </w:rPr>
        <w:t>RGC and our Administrator have the right to resign upon not more than 60 days’ notice, and we may not be able to find a suitable replacement for either within that time, or at all, resulting in a disruption in our operations that could adversely affect our financial condition, business and results of operations.</w:t>
      </w:r>
    </w:p>
    <w:p>
      <w:pPr>
        <w:spacing w:after="0" w:line="80" w:lineRule="exact"/>
        <w:rPr>
          <w:sz w:val="20"/>
          <w:szCs w:val="20"/>
          <w:color w:val="auto"/>
        </w:rPr>
      </w:pPr>
    </w:p>
    <w:p>
      <w:pPr>
        <w:jc w:val="both"/>
        <w:ind w:left="1260" w:right="679" w:firstLine="360"/>
        <w:spacing w:after="0" w:line="291" w:lineRule="auto"/>
        <w:rPr>
          <w:sz w:val="20"/>
          <w:szCs w:val="20"/>
          <w:color w:val="auto"/>
        </w:rPr>
      </w:pPr>
      <w:r>
        <w:rPr>
          <w:rFonts w:ascii="Arial" w:cs="Arial" w:eastAsia="Arial" w:hAnsi="Arial"/>
          <w:sz w:val="17"/>
          <w:szCs w:val="17"/>
          <w:color w:val="auto"/>
        </w:rPr>
        <w:t>RGC has the right, under the Amended Advisory Agreement, to resign at any time upon not more than 60 days’ written notice, regardless of whether we have found a replacement. Similarly, our Administrator has</w:t>
      </w:r>
    </w:p>
    <w:p>
      <w:pPr>
        <w:spacing w:after="0" w:line="32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52" w:lineRule="auto"/>
        <w:rPr>
          <w:sz w:val="20"/>
          <w:szCs w:val="20"/>
          <w:color w:val="auto"/>
        </w:rPr>
      </w:pPr>
      <w:r>
        <w:rPr>
          <w:rFonts w:ascii="Arial" w:cs="Arial" w:eastAsia="Arial" w:hAnsi="Arial"/>
          <w:sz w:val="17"/>
          <w:szCs w:val="17"/>
          <w:color w:val="auto"/>
        </w:rPr>
        <w:t>the right under the Administration Agreement to resign at any time upon not more than 60 days’ written notice, regardless of whether we have found a replacement. If RGC or our Administrator were to resign, we may not be able to find a new investment adviser or administrator or hire internal management with similar expertise and ability to provide the same or equivalent services on acceptable terms prior to the resignation of RGC or our Administrator, or at all. If we are unable to do so quickly, our operations are likely to experience a disruption, our financial condition, business and results of operations, as well as our ability to pay distributions, are likely to be materially and adversely affected. In addition, the coordination of our internal management and investment or administrative activities, as applicable, are likely to suffer if we are unable to identify and reach an agreement with a single institution or group of executives having the expertise possessed by RGC, our Administrator and their respective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results of operations and cash flows.</w:t>
      </w:r>
    </w:p>
    <w:p>
      <w:pPr>
        <w:spacing w:after="0" w:line="180"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b w:val="1"/>
          <w:bCs w:val="1"/>
          <w:i w:val="1"/>
          <w:iCs w:val="1"/>
          <w:color w:val="auto"/>
        </w:rPr>
        <w:t>RGC’s liability is limited under the Amended Advisory Agreement and we have agreed to indemnify RGC against certain liabilities, which may lead RGC to act in a riskier manner on our behalf than it would when acting for its own account.</w:t>
      </w:r>
    </w:p>
    <w:p>
      <w:pPr>
        <w:spacing w:after="0" w:line="101" w:lineRule="exact"/>
        <w:rPr>
          <w:sz w:val="20"/>
          <w:szCs w:val="20"/>
          <w:color w:val="auto"/>
        </w:rPr>
      </w:pPr>
    </w:p>
    <w:p>
      <w:pPr>
        <w:jc w:val="both"/>
        <w:ind w:left="1260" w:right="679" w:firstLine="360"/>
        <w:spacing w:after="0" w:line="252" w:lineRule="auto"/>
        <w:rPr>
          <w:sz w:val="20"/>
          <w:szCs w:val="20"/>
          <w:color w:val="auto"/>
        </w:rPr>
      </w:pPr>
      <w:r>
        <w:rPr>
          <w:rFonts w:ascii="Arial" w:cs="Arial" w:eastAsia="Arial" w:hAnsi="Arial"/>
          <w:sz w:val="17"/>
          <w:szCs w:val="17"/>
          <w:color w:val="auto"/>
        </w:rPr>
        <w:t>Under the Amended Advisory Agreement, RGC has not assumed any responsibility to us other than to render the services called for under that agreement. It is not responsible for any action of our Board of Directors in following or declining to follow RGC’s advice or recommendations. Under the Amended Advisory Agreement, RGC and its professionals and any person controlling or controlled by RGC are not liable to us, any subsidiary of ours, our directors, our stockholders or any subsidiary’s stockholders or partners for acts or omissions performed in accordance with and pursuant to the Amended Advisory Agreement, except those resulting from acts constituting gross negligence, willful misfeasance, bad faith or reckless disregard of the duties that RGC owes to us under the Amended Advisory Agreement. In addition, as part of the Amended Advisory Agreement, we will indemnify RGC and its professionals from and against any claims or liabilities, including reasonable legal fees and other expenses reasonably incurred, arising out of or in connection with our business and operations or any action taken or omitted on our behalf pursuant to authority granted by the Amended Advisory Agreement, except where attributable to gross negligence, willful misfeasance, bad faith or reckless disregard of such person’s duties under the Amended Advisory Agreement.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Investors may default on capital drawdowns.</w:t>
      </w:r>
    </w:p>
    <w:p>
      <w:pPr>
        <w:spacing w:after="0" w:line="158" w:lineRule="exact"/>
        <w:rPr>
          <w:sz w:val="20"/>
          <w:szCs w:val="20"/>
          <w:color w:val="auto"/>
        </w:rPr>
      </w:pPr>
    </w:p>
    <w:p>
      <w:pPr>
        <w:jc w:val="both"/>
        <w:ind w:left="1260" w:right="679" w:firstLine="360"/>
        <w:spacing w:after="0" w:line="252" w:lineRule="auto"/>
        <w:rPr>
          <w:sz w:val="20"/>
          <w:szCs w:val="20"/>
          <w:color w:val="auto"/>
        </w:rPr>
      </w:pPr>
      <w:r>
        <w:rPr>
          <w:rFonts w:ascii="Arial" w:cs="Arial" w:eastAsia="Arial" w:hAnsi="Arial"/>
          <w:sz w:val="17"/>
          <w:szCs w:val="17"/>
          <w:color w:val="auto"/>
        </w:rPr>
        <w:t>In connection with the Initial Private Offering, we will issue drawdowns on capital commitments from time to time at the discretion of RGC based upon RGC’s assessment of our needs and opportunities. To satisfy such capital drawdowns, investors may need to maintain a substantial portion of their capital commitments in assets that can be readily converted to cash. If an investor fails to pay when due installments of its capital commitment to us, and the capital commitments made by non-defaulting investors and our borrowings are inadequate to cover the defaulted capital commitment, we may be unable to pay our obligations when due. As a result, we may be subjected to significant penalties that could materially adversely affect the returns of the investors (including non-defaulting investors), and non-defaulting investors may be subject to increased expenses and/or funding requirements. Moreover, the subscription agreements signed by investors in the Initial Private Offering provide for significant adverse consequences in the event an investor defaults on its capital commitment or other payment obligations.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may need to raise additional capital to grow because we must distribute most of our income.</w:t>
      </w:r>
    </w:p>
    <w:p>
      <w:pPr>
        <w:spacing w:after="0" w:line="169" w:lineRule="exact"/>
        <w:rPr>
          <w:sz w:val="20"/>
          <w:szCs w:val="20"/>
          <w:color w:val="auto"/>
        </w:rPr>
      </w:pPr>
    </w:p>
    <w:p>
      <w:pPr>
        <w:jc w:val="both"/>
        <w:ind w:left="1260" w:right="679" w:firstLine="360"/>
        <w:spacing w:after="0" w:line="271" w:lineRule="auto"/>
        <w:rPr>
          <w:sz w:val="20"/>
          <w:szCs w:val="20"/>
          <w:color w:val="auto"/>
        </w:rPr>
      </w:pPr>
      <w:r>
        <w:rPr>
          <w:rFonts w:ascii="Arial" w:cs="Arial" w:eastAsia="Arial" w:hAnsi="Arial"/>
          <w:sz w:val="16"/>
          <w:szCs w:val="16"/>
          <w:color w:val="auto"/>
        </w:rPr>
        <w:t>We may need additional capital to fund growth in our investments. We issued equity securities in the Initial Private Offering, expect to continue to issue equity securities in connection with the Second Private Offering and expect to borrow from financial institutions. A reduction in the availability of new capital could limit our ability to grow. We must distribute at least 90% of our investment company taxable income to our stockholders to maintain our tax treatment as a RIC. As a result, any such cash earnings may not be available to fund investment originations. We may, in the future, borrow under debt facilities from financial institutions and issue additional debt and equity securities. If we fail to obtain funds from such sources or from other sources to fund our investments, it could limit our ability to grow, which may have an adverse effect on the value of our securities. In addition, as a BDC, our ability to borrow or issue preferred stock may be restricted</w:t>
      </w:r>
    </w:p>
    <w:p>
      <w:pPr>
        <w:spacing w:after="0" w:line="3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color w:val="auto"/>
        </w:rPr>
        <w:t>if our total assets are less than 200% of our total borrowings and preferred stock (or 150% if we satisfy certain conditions including board and/or stockholder approval, see “Risk Factors — Risks Relating to our Business and Structure — The 1940 Act may allow us to incur additional leverage.”)</w:t>
      </w:r>
    </w:p>
    <w:p>
      <w:pPr>
        <w:spacing w:after="0" w:line="182" w:lineRule="exact"/>
        <w:rPr>
          <w:sz w:val="20"/>
          <w:szCs w:val="20"/>
          <w:color w:val="auto"/>
        </w:rPr>
      </w:pPr>
    </w:p>
    <w:p>
      <w:pPr>
        <w:jc w:val="both"/>
        <w:ind w:left="1260" w:right="659"/>
        <w:spacing w:after="0" w:line="261" w:lineRule="auto"/>
        <w:rPr>
          <w:sz w:val="20"/>
          <w:szCs w:val="20"/>
          <w:color w:val="auto"/>
        </w:rPr>
      </w:pPr>
      <w:r>
        <w:rPr>
          <w:rFonts w:ascii="Arial" w:cs="Arial" w:eastAsia="Arial" w:hAnsi="Arial"/>
          <w:sz w:val="18"/>
          <w:szCs w:val="18"/>
          <w:b w:val="1"/>
          <w:bCs w:val="1"/>
          <w:i w:val="1"/>
          <w:iCs w:val="1"/>
          <w:color w:val="auto"/>
        </w:rPr>
        <w:t>Any failure on our part to maintain our status as a BDC or fail to qualify as a RIC would reduce our operating flexibility.</w:t>
      </w:r>
    </w:p>
    <w:p>
      <w:pPr>
        <w:spacing w:after="0" w:line="90" w:lineRule="exact"/>
        <w:rPr>
          <w:sz w:val="20"/>
          <w:szCs w:val="20"/>
          <w:color w:val="auto"/>
        </w:rPr>
      </w:pPr>
    </w:p>
    <w:p>
      <w:pPr>
        <w:jc w:val="both"/>
        <w:ind w:left="1260" w:right="679" w:firstLine="360"/>
        <w:spacing w:after="0" w:line="271" w:lineRule="auto"/>
        <w:rPr>
          <w:sz w:val="20"/>
          <w:szCs w:val="20"/>
          <w:color w:val="auto"/>
        </w:rPr>
      </w:pPr>
      <w:r>
        <w:rPr>
          <w:rFonts w:ascii="Arial" w:cs="Arial" w:eastAsia="Arial" w:hAnsi="Arial"/>
          <w:sz w:val="16"/>
          <w:szCs w:val="16"/>
          <w:color w:val="auto"/>
        </w:rPr>
        <w:t>The 1940 Act imposes numerous constraints on the operations of BDCs. For example, BDCs are required to invest at least 70% of their gross assets in specified types of “qualifying assets,” primarily in private U.S. companies or thinly-traded U.S. public companies, cash, cash equivalents, U.S. government securities and other high-quality debt investments that mature in one year or less. In addition, subject to certain limited exceptions, an investment in an issuer that has outstanding securities listed on a national exchange may be treated as a qualifying asset only if such issuer has a market capitalization that is less than $250 million at the time of such investment. In addition, as a RIC, the treatment for which we intend to qualify annually, we are required to satisfy certain source-of-income, diversification and distribution requirements. These constraints, among others, may hinder our ability to take advantage of attractive investment opportunities and to achieve our investment objective.</w:t>
      </w:r>
    </w:p>
    <w:p>
      <w:pPr>
        <w:spacing w:after="0" w:line="101" w:lineRule="exact"/>
        <w:rPr>
          <w:sz w:val="20"/>
          <w:szCs w:val="20"/>
          <w:color w:val="auto"/>
        </w:rPr>
      </w:pPr>
    </w:p>
    <w:p>
      <w:pPr>
        <w:jc w:val="both"/>
        <w:ind w:left="1260" w:right="679" w:firstLine="360"/>
        <w:spacing w:after="0" w:line="239" w:lineRule="auto"/>
        <w:rPr>
          <w:sz w:val="20"/>
          <w:szCs w:val="20"/>
          <w:color w:val="auto"/>
        </w:rPr>
      </w:pPr>
      <w:r>
        <w:rPr>
          <w:rFonts w:ascii="Arial" w:cs="Arial" w:eastAsia="Arial" w:hAnsi="Arial"/>
          <w:sz w:val="18"/>
          <w:szCs w:val="18"/>
          <w:color w:val="auto"/>
        </w:rPr>
        <w:t>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will be subject to the substantially greater regulation under the 1940 Act as a closed-end investment company. Compliance with such regulations would significantly decrease our operating flexibility, and could significantly increase our costs of doing business.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1940 Act may allow us to incur additional leverage.</w:t>
      </w:r>
    </w:p>
    <w:p>
      <w:pPr>
        <w:spacing w:after="0" w:line="158" w:lineRule="exact"/>
        <w:rPr>
          <w:sz w:val="20"/>
          <w:szCs w:val="20"/>
          <w:color w:val="auto"/>
        </w:rPr>
      </w:pPr>
    </w:p>
    <w:p>
      <w:pPr>
        <w:jc w:val="both"/>
        <w:ind w:left="1260" w:right="679" w:firstLine="360"/>
        <w:spacing w:after="0" w:line="268" w:lineRule="auto"/>
        <w:rPr>
          <w:sz w:val="20"/>
          <w:szCs w:val="20"/>
          <w:color w:val="auto"/>
        </w:rPr>
      </w:pPr>
      <w:r>
        <w:rPr>
          <w:rFonts w:ascii="Arial" w:cs="Arial" w:eastAsia="Arial" w:hAnsi="Arial"/>
          <w:sz w:val="17"/>
          <w:szCs w:val="17"/>
          <w:color w:val="auto"/>
        </w:rPr>
        <w:t>The 1940 Act generally prohibits us from incurring indebtedness unless immediately after such borrowing we have an asset coverage for total borrowings of at least 200% (i.e., the amount of debt may not exceed 50% of the value of our assets). However, the 1940 Act has been modified to allow a BDC to increase the maximum amount of leverage it may incur from an asset coverage ratio of 200% to an asset coverage ratio of 150%, if certain requirements are met. We are permitted to increase our leverage capacity if stockholders representing at least a majority of the votes cast, at an annual or special meeting at which quorum is met, approve a proposal to do so. If we receive such stockholder approval, we would be permitted to increase our leverage capacity on the first day after such approval. Alternatively, we may increase the maximum amount of leverage we may incur to an asset coverage ratio of 150% if the “required majority” of our independent directors as defined in Section 57(o) of the 1940 Act approve such increase, with such approval becoming effective after one year. Because our common stock is not listed on a national securities exchange, if we receive approval to increase the maximum amount of leverage we may incur to an asset coverage ratio of 150% from an asset coverage ratio of 200%, then we must offer to repurchase all of our common stock held by stockholders as of the date of such approval. In addition, we would be required to make certain disclosures on our website and in SEC filings regarding, among other things, the receipt of approval to increase our leverage, our leverage capacity and usage and risks related to leverage.</w:t>
      </w:r>
    </w:p>
    <w:p>
      <w:pPr>
        <w:spacing w:after="0" w:line="99" w:lineRule="exact"/>
        <w:rPr>
          <w:sz w:val="20"/>
          <w:szCs w:val="20"/>
          <w:color w:val="auto"/>
        </w:rPr>
      </w:pPr>
    </w:p>
    <w:p>
      <w:pPr>
        <w:jc w:val="both"/>
        <w:ind w:left="1260" w:right="679" w:firstLine="360"/>
        <w:spacing w:after="0" w:line="287" w:lineRule="auto"/>
        <w:rPr>
          <w:sz w:val="20"/>
          <w:szCs w:val="20"/>
          <w:color w:val="auto"/>
        </w:rPr>
      </w:pPr>
      <w:r>
        <w:rPr>
          <w:rFonts w:ascii="Arial" w:cs="Arial" w:eastAsia="Arial" w:hAnsi="Arial"/>
          <w:sz w:val="16"/>
          <w:szCs w:val="16"/>
          <w:color w:val="auto"/>
        </w:rPr>
        <w:t>As a result of these modifications to the 1940 Act, we may be able to increase our leverage up to an amount that reduces our asset coverage ratio from 200% to 150%. Leverage magnifies the potential for loss on investments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dividends on our common stock, scheduled debt payments or other payments related to our securities. Leverage is generally considered a speculative investment technique. See “Risk</w:t>
      </w:r>
    </w:p>
    <w:p>
      <w:pPr>
        <w:spacing w:after="0" w:line="3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91" w:lineRule="auto"/>
        <w:rPr>
          <w:sz w:val="20"/>
          <w:szCs w:val="20"/>
          <w:color w:val="auto"/>
        </w:rPr>
      </w:pPr>
      <w:r>
        <w:rPr>
          <w:rFonts w:ascii="Arial" w:cs="Arial" w:eastAsia="Arial" w:hAnsi="Arial"/>
          <w:sz w:val="17"/>
          <w:szCs w:val="17"/>
          <w:color w:val="auto"/>
        </w:rPr>
        <w:t>Factors — Risks Related to Our Business and Structure — We may borrow money, which would magnify the potential for gain or loss on amounts invested and may increase the risk of investing in us.”</w:t>
      </w:r>
    </w:p>
    <w:p>
      <w:pPr>
        <w:spacing w:after="0" w:line="147"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01" w:lineRule="exact"/>
        <w:rPr>
          <w:sz w:val="20"/>
          <w:szCs w:val="20"/>
          <w:color w:val="auto"/>
        </w:rPr>
      </w:pPr>
    </w:p>
    <w:p>
      <w:pPr>
        <w:jc w:val="both"/>
        <w:ind w:left="1260" w:right="679" w:firstLine="360"/>
        <w:spacing w:after="0" w:line="267" w:lineRule="auto"/>
        <w:rPr>
          <w:sz w:val="20"/>
          <w:szCs w:val="20"/>
          <w:color w:val="auto"/>
        </w:rPr>
      </w:pPr>
      <w:r>
        <w:rPr>
          <w:rFonts w:ascii="Arial" w:cs="Arial" w:eastAsia="Arial" w:hAnsi="Arial"/>
          <w:sz w:val="16"/>
          <w:szCs w:val="16"/>
          <w:color w:val="auto"/>
        </w:rPr>
        <w:t>We may issue debt securities or preferred stock and/or borrow money from banks or other financial institutions, which we refer to collectively as “senior securities,” up to the maximum amount permitted by the 1940 Act. Under the provisions of the 1940 Act, we are generally permitted, as a BDC, to issue senior securities in amounts such that our asset coverage ratio, as defined in the 1940 Act, equals at least 200% of gross assets less all liabilities and indebtedness not represented by senior securities, after each issuance of senior securities. We are permitted, however, to increase our asset coverage ratio to at least 150% if we satisfy certain conditions, including stockholder and/or board approval. See “Risk Factors — Risks Relating to our Business and Structure</w:t>
      </w:r>
    </w:p>
    <w:p>
      <w:pPr>
        <w:spacing w:after="0" w:line="1" w:lineRule="exact"/>
        <w:rPr>
          <w:sz w:val="20"/>
          <w:szCs w:val="20"/>
          <w:color w:val="auto"/>
        </w:rPr>
      </w:pPr>
    </w:p>
    <w:p>
      <w:pPr>
        <w:jc w:val="both"/>
        <w:ind w:left="1260" w:right="679"/>
        <w:spacing w:after="0" w:line="253" w:lineRule="auto"/>
        <w:rPr>
          <w:sz w:val="20"/>
          <w:szCs w:val="20"/>
          <w:color w:val="auto"/>
        </w:rPr>
      </w:pPr>
      <w:r>
        <w:rPr>
          <w:rFonts w:ascii="Arial" w:cs="Arial" w:eastAsia="Arial" w:hAnsi="Arial"/>
          <w:sz w:val="17"/>
          <w:szCs w:val="17"/>
          <w:color w:val="auto"/>
        </w:rPr>
        <w:t>— The 1940 Act may allow us to incur additional leverage.” If the value of our assets declines, we may be unable to satisfy this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w:t>
      </w:r>
    </w:p>
    <w:p>
      <w:pPr>
        <w:spacing w:after="0" w:line="111"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7"/>
          <w:szCs w:val="17"/>
          <w:color w:val="auto"/>
        </w:rPr>
        <w:t>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w:t>
      </w:r>
    </w:p>
    <w:p>
      <w:pPr>
        <w:spacing w:after="0" w:line="106" w:lineRule="exact"/>
        <w:rPr>
          <w:sz w:val="20"/>
          <w:szCs w:val="20"/>
          <w:color w:val="auto"/>
        </w:rPr>
      </w:pPr>
    </w:p>
    <w:p>
      <w:pPr>
        <w:jc w:val="both"/>
        <w:ind w:left="1260" w:right="679" w:firstLine="360"/>
        <w:spacing w:after="0" w:line="253"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We may, however, sell our common stock, or warrants, options or rights to acquire our common stock, at a price below the then-current net asset value per share of our common stock if our Board of Directors determines that such sale is in the best interests of our stockholders, and our stockholders approve such sale. In any such case, the price at which our securities are to be issued and sold may not be less than a price that, in the determination of our Board of Directors, closely approximates the market value of such securities (less any distributing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spacing w:after="0" w:line="184"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i w:val="1"/>
          <w:iCs w:val="1"/>
          <w:color w:val="auto"/>
        </w:rPr>
        <w:t>We may borrow money, which would magnify the potential for gain or loss on amounts invested and may increase the risk of investing in us.</w:t>
      </w:r>
    </w:p>
    <w:p>
      <w:pPr>
        <w:spacing w:after="0" w:line="90" w:lineRule="exact"/>
        <w:rPr>
          <w:sz w:val="20"/>
          <w:szCs w:val="20"/>
          <w:color w:val="auto"/>
        </w:rPr>
      </w:pPr>
    </w:p>
    <w:p>
      <w:pPr>
        <w:jc w:val="both"/>
        <w:ind w:left="1260" w:right="679" w:firstLine="360"/>
        <w:spacing w:after="0" w:line="252" w:lineRule="auto"/>
        <w:rPr>
          <w:sz w:val="20"/>
          <w:szCs w:val="20"/>
          <w:color w:val="auto"/>
        </w:rPr>
      </w:pPr>
      <w:r>
        <w:rPr>
          <w:rFonts w:ascii="Arial" w:cs="Arial" w:eastAsia="Arial" w:hAnsi="Arial"/>
          <w:sz w:val="17"/>
          <w:szCs w:val="17"/>
          <w:color w:val="auto"/>
        </w:rPr>
        <w:t>The use of leverage magnifies the potential for gain or loss on amounts invested and, therefore, increases the risks associated with investing in our securities.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decreases, leveraging would cause net asset value to decline more sharply than it otherwise would have had we not leveraged. Similarly, any decrease in our income would cause net income to decline more sharply than it would have had we not borrowed. Such a decline could also negatively affect our ability to make dividend payments on our common stock. Leverage is generally considered a speculative investment technique. Our ability to service any debt that we incur will depend largely on our financial performance and will be subject to prevailing economic conditions and competitive pressures. In addition, our common stockholders will bear the burden of any increase in our expenses as a result of leverage.</w:t>
      </w:r>
    </w:p>
    <w:p>
      <w:pPr>
        <w:spacing w:after="0" w:line="116" w:lineRule="exact"/>
        <w:rPr>
          <w:sz w:val="20"/>
          <w:szCs w:val="20"/>
          <w:color w:val="auto"/>
        </w:rPr>
      </w:pPr>
    </w:p>
    <w:p>
      <w:pPr>
        <w:jc w:val="both"/>
        <w:ind w:left="1260" w:right="679" w:firstLine="360"/>
        <w:spacing w:after="0" w:line="279" w:lineRule="auto"/>
        <w:rPr>
          <w:sz w:val="20"/>
          <w:szCs w:val="20"/>
          <w:color w:val="auto"/>
        </w:rPr>
      </w:pPr>
      <w:r>
        <w:rPr>
          <w:rFonts w:ascii="Arial" w:cs="Arial" w:eastAsia="Arial" w:hAnsi="Arial"/>
          <w:sz w:val="16"/>
          <w:szCs w:val="16"/>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are permitted, however, to increase our asset coverage ratio to at least 150% if we satisfy certain conditions, including stockholder and/or board approval. See “Risk Factors — Risks Relating to our Business and Structure — The</w:t>
      </w:r>
    </w:p>
    <w:p>
      <w:pPr>
        <w:spacing w:after="0" w:line="33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53" w:lineRule="auto"/>
        <w:rPr>
          <w:sz w:val="20"/>
          <w:szCs w:val="20"/>
          <w:color w:val="auto"/>
        </w:rPr>
      </w:pPr>
      <w:r>
        <w:rPr>
          <w:rFonts w:ascii="Arial" w:cs="Arial" w:eastAsia="Arial" w:hAnsi="Arial"/>
          <w:sz w:val="17"/>
          <w:szCs w:val="17"/>
          <w:color w:val="auto"/>
        </w:rPr>
        <w:t>1940 Act may allow us to incur additional leverage.” If this ratio declines below 200% or 150%, whichever is applicable, we may not be able to incur additional debt and could be required by law to sell a portion of our investments to repay some debt when it is disadvantageous to do so, which could have a material adverse effect on our operations, and we may not be able to make distributions. The amount of leverage that we employ will depend on RGC’s and our Board of Directors’ assessment of market and other factors at the time of any proposed borrowing. We cannot assure you that we will be able to obtain credit at all or on terms acceptable to us. In addition, any debt facility into which we may enter would likely impose financial and operating covenants that restrict our business activities, including limitations that could hinder our ability to finance additional loans and investments or to make the distributions required to qualify as a RIC.</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Any defaults under the Credit Facility could adversely affect our business.</w:t>
      </w:r>
    </w:p>
    <w:p>
      <w:pPr>
        <w:spacing w:after="0" w:line="144"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6"/>
          <w:szCs w:val="16"/>
          <w:color w:val="auto"/>
        </w:rPr>
        <w:t>On May 31, 2019, we entered into the Credit Agreement with KeyBank National Association, as administrative agent, syndication agent, and a lender, CIBC Bank USA, as documentation agent and a lender, and U.S. Bank National Association, as paying agent (the “Credit Facility”). In the event we default under our credit facility with KeyBank National Association, or other borrowings, our business could be adversely affected as we may be forced to sell a portion of our investments quickly and prematurely at what may be disadvantageous prices to us in order to meet our outstanding payment obligations and/or support working capital requirements under such borrowing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167"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i w:val="1"/>
          <w:iCs w:val="1"/>
          <w:color w:val="auto"/>
        </w:rPr>
        <w:t>If we are unable to obtain additional debt financing, or if our borrowing capacity is materially reduced, our business could be materially adversely affected.</w:t>
      </w:r>
    </w:p>
    <w:p>
      <w:pPr>
        <w:spacing w:after="0" w:line="103" w:lineRule="exact"/>
        <w:rPr>
          <w:sz w:val="20"/>
          <w:szCs w:val="20"/>
          <w:color w:val="auto"/>
        </w:rPr>
      </w:pPr>
    </w:p>
    <w:p>
      <w:pPr>
        <w:jc w:val="both"/>
        <w:ind w:left="1260" w:right="659" w:firstLine="360"/>
        <w:spacing w:after="0" w:line="287" w:lineRule="auto"/>
        <w:rPr>
          <w:sz w:val="20"/>
          <w:szCs w:val="20"/>
          <w:color w:val="auto"/>
        </w:rPr>
      </w:pPr>
      <w:r>
        <w:rPr>
          <w:rFonts w:ascii="Arial" w:cs="Arial" w:eastAsia="Arial" w:hAnsi="Arial"/>
          <w:sz w:val="16"/>
          <w:szCs w:val="16"/>
          <w:color w:val="auto"/>
        </w:rPr>
        <w:t>We may want to obtain additional debt financing, or need to do so upon maturity of the Credit Facility, in order to obtain funds which may be made available for investments. The availability period under the Credit Agreement expires on May 31, 2022 and is followed by a two-year amortization period. The stated maturity date under the Credit Agreement is May 31, 2024. If we are unable to increase, renew or replace the Credit Facility and enter into new debt financing facilities or other debt financing on commercially reasonable terms, our liquidity may be reduced significantly. In addition, if we are unable to repay amounts outstanding under any such facilities and are declared in default or are unable to renew or refinance these facilities, we may not be able to make new investments or operate our business in the normal course. These situations may arise due to circumstances that we may be unable to control, such as lack of access to the credit markets, a severe decline in the value of the U.S. dollar, an economic downturn or an operational problem that affects us or third parties, and could materially damage our business operations, results of operations and financial condition.</w:t>
      </w:r>
    </w:p>
    <w:p>
      <w:pPr>
        <w:spacing w:after="0" w:line="172" w:lineRule="exact"/>
        <w:rPr>
          <w:sz w:val="20"/>
          <w:szCs w:val="20"/>
          <w:color w:val="auto"/>
        </w:rPr>
      </w:pPr>
    </w:p>
    <w:p>
      <w:pPr>
        <w:jc w:val="both"/>
        <w:ind w:left="1260" w:right="679"/>
        <w:spacing w:after="0" w:line="277" w:lineRule="auto"/>
        <w:rPr>
          <w:sz w:val="20"/>
          <w:szCs w:val="20"/>
          <w:color w:val="auto"/>
        </w:rPr>
      </w:pPr>
      <w:r>
        <w:rPr>
          <w:rFonts w:ascii="Arial" w:cs="Arial" w:eastAsia="Arial" w:hAnsi="Arial"/>
          <w:sz w:val="18"/>
          <w:szCs w:val="18"/>
          <w:b w:val="1"/>
          <w:bCs w:val="1"/>
          <w:i w:val="1"/>
          <w:iCs w:val="1"/>
          <w:color w:val="auto"/>
        </w:rPr>
        <w:t>Changes in interest rates may affect our cost of capital, the ability of our portfolio companies to service their debt obligations and our net investment income.</w:t>
      </w:r>
    </w:p>
    <w:p>
      <w:pPr>
        <w:spacing w:after="0" w:line="103" w:lineRule="exact"/>
        <w:rPr>
          <w:sz w:val="20"/>
          <w:szCs w:val="20"/>
          <w:color w:val="auto"/>
        </w:rPr>
      </w:pPr>
    </w:p>
    <w:p>
      <w:pPr>
        <w:jc w:val="both"/>
        <w:ind w:left="1260" w:right="679" w:firstLine="360"/>
        <w:spacing w:after="0" w:line="269" w:lineRule="auto"/>
        <w:rPr>
          <w:sz w:val="20"/>
          <w:szCs w:val="20"/>
          <w:color w:val="auto"/>
        </w:rPr>
      </w:pPr>
      <w:r>
        <w:rPr>
          <w:rFonts w:ascii="Arial" w:cs="Arial" w:eastAsia="Arial" w:hAnsi="Arial"/>
          <w:sz w:val="17"/>
          <w:szCs w:val="17"/>
          <w:color w:val="auto"/>
        </w:rPr>
        <w:t>General interest rate fluctuations and changes in credit spreads on floating rate loans may have a substantial negative impact on our investments and investment opportunities and, accordingly, may have a material adverse effect on our rate of return on invested capital, our net investment income and our net asset value. Substantially all of our debt investments will have variable interest rates that reset periodically based on benchmarks such as LIBOR and the prime rate, so an increase in interest rates from their relatively low present levels may make it more difficult for our portfolio companies to service their obligations under the debt investments that we will hold. Alternatively, a decrease in interest rates or interest rate benchmarks, including a reduction of LIBOR to zero, may negatively affect our net interest income if our interest-earning assets reprice sooner than our interest-bearing debt investments. In a low interest rate environment, prepayments may be more likely. We would then be forced to invest unanticipated proceeds at lower interest or dividend rates, resulting in a decline in our net investment income.</w:t>
      </w:r>
    </w:p>
    <w:p>
      <w:pPr>
        <w:spacing w:after="0" w:line="101"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7"/>
          <w:szCs w:val="17"/>
          <w:color w:val="auto"/>
        </w:rPr>
        <w:t>In addition, to the extent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w:t>
      </w:r>
    </w:p>
    <w:p>
      <w:pPr>
        <w:spacing w:after="0" w:line="3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rPr>
          <w:sz w:val="20"/>
          <w:szCs w:val="20"/>
          <w:color w:val="auto"/>
        </w:rPr>
      </w:pPr>
      <w:r>
        <w:rPr>
          <w:rFonts w:ascii="Arial" w:cs="Arial" w:eastAsia="Arial" w:hAnsi="Arial"/>
          <w:sz w:val="18"/>
          <w:szCs w:val="18"/>
          <w:color w:val="auto"/>
        </w:rPr>
        <w:t>material adverse effect on our net investment income to the extent we use debt to finance our investments. In periods of rising interest rates, our cost of funds would increase, which could reduce our net investment income.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08" w:lineRule="exact"/>
        <w:rPr>
          <w:sz w:val="20"/>
          <w:szCs w:val="20"/>
          <w:color w:val="auto"/>
        </w:rPr>
      </w:pPr>
    </w:p>
    <w:p>
      <w:pPr>
        <w:jc w:val="both"/>
        <w:ind w:left="1260" w:right="679" w:firstLine="360"/>
        <w:spacing w:after="0" w:line="262" w:lineRule="auto"/>
        <w:rPr>
          <w:sz w:val="20"/>
          <w:szCs w:val="20"/>
          <w:color w:val="auto"/>
        </w:rPr>
      </w:pPr>
      <w:r>
        <w:rPr>
          <w:rFonts w:ascii="Arial" w:cs="Arial" w:eastAsia="Arial" w:hAnsi="Arial"/>
          <w:sz w:val="17"/>
          <w:szCs w:val="17"/>
          <w:color w:val="auto"/>
        </w:rPr>
        <w:t>In addition,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RGC with respect to our pre-incentive fee net investment income.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financial projections of our portfolio companies could prove inaccurate.</w:t>
      </w:r>
    </w:p>
    <w:p>
      <w:pPr>
        <w:spacing w:after="0" w:line="158" w:lineRule="exact"/>
        <w:rPr>
          <w:sz w:val="20"/>
          <w:szCs w:val="20"/>
          <w:color w:val="auto"/>
        </w:rPr>
      </w:pPr>
    </w:p>
    <w:p>
      <w:pPr>
        <w:jc w:val="both"/>
        <w:ind w:left="1260" w:right="679" w:firstLine="360"/>
        <w:spacing w:after="0" w:line="253" w:lineRule="auto"/>
        <w:rPr>
          <w:sz w:val="20"/>
          <w:szCs w:val="20"/>
          <w:color w:val="auto"/>
        </w:rPr>
      </w:pPr>
      <w:r>
        <w:rPr>
          <w:rFonts w:ascii="Arial" w:cs="Arial" w:eastAsia="Arial" w:hAnsi="Arial"/>
          <w:sz w:val="17"/>
          <w:szCs w:val="17"/>
          <w:color w:val="auto"/>
        </w:rPr>
        <w:t>We generally evaluate the capital structure of portfolio companies on the basis of financial projections prepared by the management of such portfolio companies. These projected operating results are normally based primarily on judgments of the management of the portfolio companies. In all cases, projections are only estimates of future results that are based upon assumptions made at the time that the projections are developed. General economic conditions, which are not predictable with accuracy, along with other factors may cause actual performance to fall short of the financial projections that were used to establish a given portfolio company’s capital structure. Because of the leverage that is typically employed by our portfolio companies, this could cause a substantial decrease in the value of our investment in the portfolio company. The inaccuracy of financial projections could thus cause our performance to fall short of our expectations.</w:t>
      </w:r>
    </w:p>
    <w:p>
      <w:pPr>
        <w:spacing w:after="0" w:line="184" w:lineRule="exact"/>
        <w:rPr>
          <w:sz w:val="20"/>
          <w:szCs w:val="20"/>
          <w:color w:val="auto"/>
        </w:rPr>
      </w:pPr>
    </w:p>
    <w:p>
      <w:pPr>
        <w:jc w:val="both"/>
        <w:ind w:left="1260" w:right="679"/>
        <w:spacing w:after="0" w:line="243" w:lineRule="auto"/>
        <w:rPr>
          <w:sz w:val="20"/>
          <w:szCs w:val="20"/>
          <w:color w:val="auto"/>
        </w:rPr>
      </w:pPr>
      <w:r>
        <w:rPr>
          <w:rFonts w:ascii="Arial" w:cs="Arial" w:eastAsia="Arial" w:hAnsi="Arial"/>
          <w:sz w:val="18"/>
          <w:szCs w:val="18"/>
          <w:b w:val="1"/>
          <w:bCs w:val="1"/>
          <w:i w:val="1"/>
          <w:iCs w:val="1"/>
          <w:color w:val="auto"/>
        </w:rPr>
        <w:t>Our portfolio securities may not have a readily available market price and, in such a case, we will value these securities at fair value as determined in good faith under procedures adopted by our Board of Directors, which valuation is inherently subjective and may not reflect what we may actually realize for the sale of the investment.</w:t>
      </w:r>
    </w:p>
    <w:p>
      <w:pPr>
        <w:spacing w:after="0" w:line="120" w:lineRule="exact"/>
        <w:rPr>
          <w:sz w:val="20"/>
          <w:szCs w:val="20"/>
          <w:color w:val="auto"/>
        </w:rPr>
      </w:pPr>
    </w:p>
    <w:p>
      <w:pPr>
        <w:jc w:val="both"/>
        <w:ind w:left="1260" w:right="679" w:firstLine="360"/>
        <w:spacing w:after="0" w:line="268" w:lineRule="auto"/>
        <w:rPr>
          <w:sz w:val="20"/>
          <w:szCs w:val="20"/>
          <w:color w:val="auto"/>
        </w:rPr>
      </w:pPr>
      <w:r>
        <w:rPr>
          <w:rFonts w:ascii="Arial" w:cs="Arial" w:eastAsia="Arial" w:hAnsi="Arial"/>
          <w:sz w:val="16"/>
          <w:szCs w:val="16"/>
          <w:color w:val="auto"/>
        </w:rPr>
        <w:t>A large percentage of our portfolio investments are in the form of debt investments that are not publicly traded. The fair value of these securities is not readily determinable. We value these investments on at least a quarterly basis in accordance with our valuation policy, which is at all times consistent with generally accepted accounting principles in the United States (“U.S. GAAP”). Our Board of Directors utilizes the services of a third-party valuation firm to aid it in determining the fair value of these investments. The Board of Directors discusses valuations and determines the fair value in good faith based on the input of RGC and the third-party valuation firm. The participation of RGC in our valuation process could result in a conflict of interest, since the management fees are based in part on our gross assets and also because RGC is receiving performance-based incentive fees. The factors that are considered in the fair value pricing of our investments include the nature and realizable value of any collateral, the portfolio company’s ability to make payments and its earnings, the markets in which the portfolio company does business, comparisons to publicly-traded companies, discounted cash flow, relevant credit market indices, and other relevant factors. Because such valuations, and particularly valuations of private investments and private companies, are inherently uncertain, may fluctuate over short periods of time and may be based on estimates, our determinations of fair value may differ materially from the values that would have been used if a ready market for these securities existed. In addition, the valuation of these types of securities may result in substantial write-downs and earnings volatility.</w:t>
      </w:r>
    </w:p>
    <w:p>
      <w:pPr>
        <w:spacing w:after="0" w:line="88" w:lineRule="exact"/>
        <w:rPr>
          <w:sz w:val="20"/>
          <w:szCs w:val="20"/>
          <w:color w:val="auto"/>
        </w:rPr>
      </w:pPr>
    </w:p>
    <w:p>
      <w:pPr>
        <w:jc w:val="both"/>
        <w:ind w:left="1260" w:right="679" w:firstLine="360"/>
        <w:spacing w:after="0" w:line="239" w:lineRule="auto"/>
        <w:rPr>
          <w:sz w:val="20"/>
          <w:szCs w:val="20"/>
          <w:color w:val="auto"/>
        </w:rPr>
      </w:pPr>
      <w:r>
        <w:rPr>
          <w:rFonts w:ascii="Arial" w:cs="Arial" w:eastAsia="Arial" w:hAnsi="Arial"/>
          <w:sz w:val="18"/>
          <w:szCs w:val="18"/>
          <w:color w:val="auto"/>
        </w:rPr>
        <w:t>Our net asset value as of a particular date may be materially greater than or less than the value that would be realized if our assets were to be liquidated as of such date. For example, if we were required to sell a certain asset or all or a substantial portion of its assets on a particular date, the actual price that we would realize upon the disposition of such asset or assets could be materially less than the value of such asset or assets as reflected in our net asset value. Volatile market conditions could also cause reduced liquidity in the market for certain assets, which could result in liquidation values that are materially less than the values of such assets as reflected in our net asset value.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experience fluctuations in our quarterly and annual results.</w:t>
      </w:r>
    </w:p>
    <w:p>
      <w:pPr>
        <w:spacing w:after="0" w:line="158"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7"/>
          <w:szCs w:val="17"/>
          <w:color w:val="auto"/>
        </w:rPr>
        <w:t>We may experience fluctuations in our quarterly and annual operating results due to a number of factors, including, but not limited to, our ability or inability to make investments in companies that meet our investment criteria, the interest rate payable on the debt securities we acquire, the level of portfolio dividend</w:t>
      </w:r>
    </w:p>
    <w:p>
      <w:pPr>
        <w:spacing w:after="0" w:line="3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43" w:lineRule="auto"/>
        <w:rPr>
          <w:sz w:val="20"/>
          <w:szCs w:val="20"/>
          <w:color w:val="auto"/>
        </w:rPr>
      </w:pPr>
      <w:r>
        <w:rPr>
          <w:rFonts w:ascii="Arial" w:cs="Arial" w:eastAsia="Arial" w:hAnsi="Arial"/>
          <w:sz w:val="18"/>
          <w:szCs w:val="18"/>
          <w:color w:val="auto"/>
        </w:rPr>
        <w:t>and fee income,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88" w:lineRule="exact"/>
        <w:rPr>
          <w:sz w:val="20"/>
          <w:szCs w:val="20"/>
          <w:color w:val="auto"/>
        </w:rPr>
      </w:pPr>
    </w:p>
    <w:p>
      <w:pPr>
        <w:jc w:val="both"/>
        <w:ind w:left="1260" w:right="679"/>
        <w:spacing w:after="0" w:line="291" w:lineRule="auto"/>
        <w:rPr>
          <w:sz w:val="20"/>
          <w:szCs w:val="20"/>
          <w:color w:val="auto"/>
        </w:rPr>
      </w:pPr>
      <w:r>
        <w:rPr>
          <w:rFonts w:ascii="Arial" w:cs="Arial" w:eastAsia="Arial" w:hAnsi="Arial"/>
          <w:sz w:val="17"/>
          <w:szCs w:val="17"/>
          <w:b w:val="1"/>
          <w:bCs w:val="1"/>
          <w:i w:val="1"/>
          <w:iCs w:val="1"/>
          <w:color w:val="auto"/>
        </w:rPr>
        <w:t>Our Board of Directors is authorized to reclassify any unissued shares of common stock into one or more classes of preferred stock, which could convey special rights and privileges to its owners.</w:t>
      </w:r>
    </w:p>
    <w:p>
      <w:pPr>
        <w:spacing w:after="0" w:line="66" w:lineRule="exact"/>
        <w:rPr>
          <w:sz w:val="20"/>
          <w:szCs w:val="20"/>
          <w:color w:val="auto"/>
        </w:rPr>
      </w:pPr>
    </w:p>
    <w:p>
      <w:pPr>
        <w:jc w:val="both"/>
        <w:ind w:left="1260" w:right="679" w:firstLine="360"/>
        <w:spacing w:after="0" w:line="267" w:lineRule="auto"/>
        <w:rPr>
          <w:sz w:val="20"/>
          <w:szCs w:val="20"/>
          <w:color w:val="auto"/>
        </w:rPr>
      </w:pPr>
      <w:r>
        <w:rPr>
          <w:rFonts w:ascii="Arial" w:cs="Arial" w:eastAsia="Arial" w:hAnsi="Arial"/>
          <w:sz w:val="16"/>
          <w:szCs w:val="16"/>
          <w:color w:val="auto"/>
        </w:rPr>
        <w:t>Under Maryland General Corporation Law (the “MGCL”) and our charter, our Board of Directors is authorized to classify and reclassify any authorized but unissued shares of stock into one or more classes of stock, including preferred stock. Prior to the issuance of shares of each class or series, the Board of Directors is required by Maryland law and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The cost of any such reclassification would be borne by our existing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but may determine to do so in the future. The issuance of preferred stock convertible into shares of common stock might also reduce the net income per share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an investment in our common stock.</w:t>
      </w:r>
    </w:p>
    <w:p>
      <w:pPr>
        <w:spacing w:after="0" w:line="177"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103" w:lineRule="exact"/>
        <w:rPr>
          <w:sz w:val="20"/>
          <w:szCs w:val="20"/>
          <w:color w:val="auto"/>
        </w:rPr>
      </w:pPr>
    </w:p>
    <w:p>
      <w:pPr>
        <w:jc w:val="both"/>
        <w:ind w:left="1260" w:right="679" w:firstLine="360"/>
        <w:spacing w:after="0" w:line="255" w:lineRule="auto"/>
        <w:rPr>
          <w:sz w:val="20"/>
          <w:szCs w:val="20"/>
          <w:color w:val="auto"/>
        </w:rPr>
      </w:pPr>
      <w:r>
        <w:rPr>
          <w:rFonts w:ascii="Arial" w:cs="Arial" w:eastAsia="Arial" w:hAnsi="Arial"/>
          <w:sz w:val="17"/>
          <w:szCs w:val="17"/>
          <w:color w:val="auto"/>
        </w:rPr>
        <w:t>Our Board of Directors has the authority to modify or waive our investment objective, current operating policies, investment criteria and strategies without prior notice (except as required by the 1940 Act) and without stockholder approval by resolution. However, absent stockholder approval, we may not change the nature of our business so as to cease to be, or withdraw our election as, a BDC.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will be subject to U.S. federal corporate-level income tax if we are unable to qualify as a RIC.</w:t>
      </w:r>
    </w:p>
    <w:p>
      <w:pPr>
        <w:spacing w:after="0" w:line="169" w:lineRule="exact"/>
        <w:rPr>
          <w:sz w:val="20"/>
          <w:szCs w:val="20"/>
          <w:color w:val="auto"/>
        </w:rPr>
      </w:pPr>
    </w:p>
    <w:p>
      <w:pPr>
        <w:jc w:val="both"/>
        <w:ind w:left="1260" w:right="679" w:firstLine="360"/>
        <w:spacing w:after="0" w:line="294" w:lineRule="auto"/>
        <w:rPr>
          <w:sz w:val="20"/>
          <w:szCs w:val="20"/>
          <w:color w:val="auto"/>
        </w:rPr>
      </w:pPr>
      <w:r>
        <w:rPr>
          <w:rFonts w:ascii="Arial" w:cs="Arial" w:eastAsia="Arial" w:hAnsi="Arial"/>
          <w:sz w:val="16"/>
          <w:szCs w:val="16"/>
          <w:color w:val="auto"/>
        </w:rPr>
        <w:t>Although we have elected to be treated as a RIC under Subchapter M of the Code, no assurance can be given that we will be able to qualify as and maintain our qualification as a RIC. To maintain our tax treatment as a RIC, we must meet the following source-of-income, asset diversification, and distribution requirements.</w:t>
      </w:r>
    </w:p>
    <w:p>
      <w:pPr>
        <w:spacing w:after="0" w:line="66" w:lineRule="exact"/>
        <w:rPr>
          <w:sz w:val="20"/>
          <w:szCs w:val="20"/>
          <w:color w:val="auto"/>
        </w:rPr>
      </w:pPr>
    </w:p>
    <w:p>
      <w:pPr>
        <w:jc w:val="both"/>
        <w:ind w:left="1260" w:right="679" w:firstLine="360"/>
        <w:spacing w:after="0" w:line="294" w:lineRule="auto"/>
        <w:rPr>
          <w:sz w:val="20"/>
          <w:szCs w:val="20"/>
          <w:color w:val="auto"/>
        </w:rPr>
      </w:pPr>
      <w:r>
        <w:rPr>
          <w:rFonts w:ascii="Arial" w:cs="Arial" w:eastAsia="Arial" w:hAnsi="Arial"/>
          <w:sz w:val="16"/>
          <w:szCs w:val="16"/>
          <w:color w:val="auto"/>
        </w:rPr>
        <w:t>The income source requirement will be satisfied if we obtain at least 90% of our gross income for each year from dividends, interest, foreign currency, payments with respect to loans of certain securities, gains from the sale of stock or other securities, net income from certain “qualified publicly traded partnerships,” or similar sources.</w:t>
      </w:r>
    </w:p>
    <w:p>
      <w:pPr>
        <w:spacing w:after="0" w:line="80" w:lineRule="exact"/>
        <w:rPr>
          <w:sz w:val="20"/>
          <w:szCs w:val="20"/>
          <w:color w:val="auto"/>
        </w:rPr>
      </w:pPr>
    </w:p>
    <w:p>
      <w:pPr>
        <w:jc w:val="both"/>
        <w:ind w:left="1260" w:right="679" w:firstLine="360"/>
        <w:spacing w:after="0" w:line="272" w:lineRule="auto"/>
        <w:rPr>
          <w:sz w:val="20"/>
          <w:szCs w:val="20"/>
          <w:color w:val="auto"/>
        </w:rPr>
      </w:pPr>
      <w:r>
        <w:rPr>
          <w:rFonts w:ascii="Arial" w:cs="Arial" w:eastAsia="Arial" w:hAnsi="Arial"/>
          <w:sz w:val="16"/>
          <w:szCs w:val="16"/>
          <w:color w:val="auto"/>
        </w:rPr>
        <w:t>The asset diversification requirement will be satisfied if we meet certain asset diversification requirements at the end of each quarter of our taxable year. Failure to meet those requirements may result in our having to dispose of certain investments quickly in order to prevent the loss of our qualification as a RIC. Because most of our investments will be in private companies, and therefore will be relatively illiquid, any such dispositions could be made at disadvantageous prices and could result in substantial losses. We may have difficulty satisfying the diversification requirement during our ramp-up phase until we have a portfolio of investments. In addition, to the extent that we call capital to meet the asset diversification requirements and are unable to deploy such capital into income-earning investments, we may not achieve our expected operating results.</w:t>
      </w:r>
    </w:p>
    <w:p>
      <w:pPr>
        <w:spacing w:after="0" w:line="34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7"/>
          <w:szCs w:val="17"/>
          <w:color w:val="auto"/>
        </w:rPr>
        <w:t>The Annual Distribution Requirement will be satisfied if we distribute to our stockholders on an annual basis at least 90% of our net ordinary income and realized net short-term capital gains in excess of realized net long-term capital losses, if any. Because we may use debt financing, we are subject to certain asset coverage ratio requirements under the 1940 Act and financial covenants under loan and credit agreements that could, under certain circumstances, restrict us from making distributions necessary to satisfy the distribution requirement. If we are unable to obtain cash from other sources, we could fail to qualify for tax treatment as a RIC. If we fail to qualify as a RIC for any reason and therefore become subject to corporate-level federal U.S. income tax, the resulting corporate taxes could substantially reduce our net assets, the amount of income available for distribution and the amount of our distributions.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There are risks related to investment by ERISA Plans.</w:t>
      </w:r>
    </w:p>
    <w:p>
      <w:pPr>
        <w:spacing w:after="0" w:line="144" w:lineRule="exact"/>
        <w:rPr>
          <w:sz w:val="20"/>
          <w:szCs w:val="20"/>
          <w:color w:val="auto"/>
        </w:rPr>
      </w:pPr>
    </w:p>
    <w:p>
      <w:pPr>
        <w:jc w:val="both"/>
        <w:ind w:left="1260" w:right="679" w:firstLine="360"/>
        <w:spacing w:after="0" w:line="301" w:lineRule="auto"/>
        <w:rPr>
          <w:sz w:val="20"/>
          <w:szCs w:val="20"/>
          <w:color w:val="auto"/>
        </w:rPr>
      </w:pPr>
      <w:r>
        <w:rPr>
          <w:rFonts w:ascii="Arial" w:cs="Arial" w:eastAsia="Arial" w:hAnsi="Arial"/>
          <w:sz w:val="16"/>
          <w:szCs w:val="16"/>
          <w:color w:val="auto"/>
        </w:rPr>
        <w:t>We will use reasonable efforts to conduct our affairs so that our assets are not be deemed to be “plan assets” under the plan asset regulations promulgated by DOL, as amended by ERISA. The fiduciary of each prospective plan investor must independently determine that the Company is an appropriate investment for such plan, taking into account the fiduciary’s obligations under ERISA and the facts and circumstances of each investing plan.</w:t>
      </w:r>
    </w:p>
    <w:p>
      <w:pPr>
        <w:spacing w:after="0" w:line="157" w:lineRule="exact"/>
        <w:rPr>
          <w:sz w:val="20"/>
          <w:szCs w:val="20"/>
          <w:color w:val="auto"/>
        </w:rPr>
      </w:pPr>
    </w:p>
    <w:p>
      <w:pPr>
        <w:jc w:val="both"/>
        <w:ind w:left="1260" w:right="679"/>
        <w:spacing w:after="0" w:line="277" w:lineRule="auto"/>
        <w:rPr>
          <w:sz w:val="20"/>
          <w:szCs w:val="20"/>
          <w:color w:val="auto"/>
        </w:rPr>
      </w:pPr>
      <w:r>
        <w:rPr>
          <w:rFonts w:ascii="Arial" w:cs="Arial" w:eastAsia="Arial" w:hAnsi="Arial"/>
          <w:sz w:val="18"/>
          <w:szCs w:val="18"/>
          <w:b w:val="1"/>
          <w:bCs w:val="1"/>
          <w:i w:val="1"/>
          <w:iCs w:val="1"/>
          <w:color w:val="auto"/>
        </w:rPr>
        <w:t>We may have difficulty paying our required distributions if we recognize income before or without receiving cash representing such income.</w:t>
      </w:r>
    </w:p>
    <w:p>
      <w:pPr>
        <w:spacing w:after="0" w:line="103" w:lineRule="exact"/>
        <w:rPr>
          <w:sz w:val="20"/>
          <w:szCs w:val="20"/>
          <w:color w:val="auto"/>
        </w:rPr>
      </w:pPr>
    </w:p>
    <w:p>
      <w:pPr>
        <w:jc w:val="both"/>
        <w:ind w:left="1260" w:right="679" w:firstLine="360"/>
        <w:spacing w:after="0" w:line="272" w:lineRule="auto"/>
        <w:rPr>
          <w:sz w:val="20"/>
          <w:szCs w:val="20"/>
          <w:color w:val="auto"/>
        </w:rPr>
      </w:pPr>
      <w:r>
        <w:rPr>
          <w:rFonts w:ascii="Arial" w:cs="Arial" w:eastAsia="Arial" w:hAnsi="Arial"/>
          <w:sz w:val="17"/>
          <w:szCs w:val="17"/>
          <w:color w:val="auto"/>
        </w:rPr>
        <w:t>For U.S. federal income tax purposes, we will include in our taxable income certain amounts that we have not yet received in cash, such as original issue discount, which may arise if we receive warrants in connection with the origination of a loan or possibly in other circumstances, or contractual PIK interest, which represents contractual interest added to the loan balance and due at the end of the loan term. Such original issue discount or increases in loan balances as a result of contractual PIK arrangements will be included in our taxable income before we receive any corresponding cash payments. We also may be required to include in our taxable income certain other amounts that we will not receive in cash.</w:t>
      </w:r>
    </w:p>
    <w:p>
      <w:pPr>
        <w:spacing w:after="0" w:line="110" w:lineRule="exact"/>
        <w:rPr>
          <w:sz w:val="20"/>
          <w:szCs w:val="20"/>
          <w:color w:val="auto"/>
        </w:rPr>
      </w:pPr>
    </w:p>
    <w:p>
      <w:pPr>
        <w:jc w:val="both"/>
        <w:ind w:left="1260" w:right="659" w:firstLine="360"/>
        <w:spacing w:after="0" w:line="290" w:lineRule="auto"/>
        <w:rPr>
          <w:sz w:val="20"/>
          <w:szCs w:val="20"/>
          <w:color w:val="auto"/>
        </w:rPr>
      </w:pPr>
      <w:r>
        <w:rPr>
          <w:rFonts w:ascii="Arial" w:cs="Arial" w:eastAsia="Arial" w:hAnsi="Arial"/>
          <w:sz w:val="16"/>
          <w:szCs w:val="16"/>
          <w:color w:val="auto"/>
        </w:rPr>
        <w:t>Since, in certain cases, we may recognize taxable income before or without receiving corresponding cash payments, we may have difficulty meeting the Annual Distribution Requirement necessary to maintain our qualification as a RIC. Accordingly, to satisfy our RIC distribution requirements, we may have to sell some of our investments at times and/or at prices we would not consider advantageous, raise additional debt or equity capital or forgo new investment opportunities. If we are not able to obtain cash from other sources, we may fail to qualify for tax treatment as a RIC and thus become subject to corporate-level income tax. For additional discussion regarding the tax implications of our election to be taxed as a RIC, please see “Business — Material U.S. Federal Income Tax Considerations — Taxation of the Company” in Part I, Item 1 of this Form 10-K.</w:t>
      </w:r>
    </w:p>
    <w:p>
      <w:pPr>
        <w:spacing w:after="0" w:line="165" w:lineRule="exact"/>
        <w:rPr>
          <w:sz w:val="20"/>
          <w:szCs w:val="20"/>
          <w:color w:val="auto"/>
        </w:rPr>
      </w:pPr>
    </w:p>
    <w:p>
      <w:pPr>
        <w:jc w:val="both"/>
        <w:ind w:left="1260" w:right="679"/>
        <w:spacing w:after="0" w:line="263" w:lineRule="auto"/>
        <w:rPr>
          <w:sz w:val="20"/>
          <w:szCs w:val="20"/>
          <w:color w:val="auto"/>
        </w:rPr>
      </w:pPr>
      <w:r>
        <w:rPr>
          <w:rFonts w:ascii="Arial" w:cs="Arial" w:eastAsia="Arial" w:hAnsi="Arial"/>
          <w:sz w:val="18"/>
          <w:szCs w:val="18"/>
          <w:b w:val="1"/>
          <w:bCs w:val="1"/>
          <w:i w:val="1"/>
          <w:iCs w:val="1"/>
          <w:color w:val="auto"/>
        </w:rPr>
        <w:t>To the extent original issue discount and PIK-interest constitute a portion of our income, we are exposed to typical risks associated with such income being required to be included in taxable and accounting income prior to receipt of cash representing such income.</w:t>
      </w:r>
    </w:p>
    <w:p>
      <w:pPr>
        <w:spacing w:after="0" w:line="103"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Our investments may include original-issue-discount instruments and contractual PIK-interest arrangements. To the extent original issue discount or PIK-interest constitutes a portion of our income, we are exposed to typical risks associated with such income being required to be included in taxable and accounting income prior to receipt of cash, including the following:</w:t>
      </w:r>
    </w:p>
    <w:p>
      <w:pPr>
        <w:spacing w:after="0" w:line="79" w:lineRule="exact"/>
        <w:rPr>
          <w:sz w:val="20"/>
          <w:szCs w:val="20"/>
          <w:color w:val="auto"/>
        </w:rPr>
      </w:pPr>
    </w:p>
    <w:p>
      <w:pPr>
        <w:jc w:val="both"/>
        <w:ind w:left="1800" w:right="679" w:hanging="178"/>
        <w:spacing w:after="0" w:line="25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higher interest rates of original issue discount and PIK instruments reflect the payment deferral, which results in a higher principal amount at the maturity of the instrument as compared to the original principal amount of the instrument, and increased credit risk associated with these instruments, and original issue discount and PIK instruments generally represent a significantly higher credit risk than coupon loans.</w:t>
      </w:r>
    </w:p>
    <w:p>
      <w:pPr>
        <w:spacing w:after="0" w:line="79"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Even if the accounting conditions for income accrual are met, the borrower could still default when our actual collection is supposed to occur at the maturity of the obligation.</w:t>
      </w:r>
    </w:p>
    <w:p>
      <w:pPr>
        <w:spacing w:after="0" w:line="62" w:lineRule="exact"/>
        <w:rPr>
          <w:rFonts w:ascii="Arial" w:cs="Arial" w:eastAsia="Arial" w:hAnsi="Arial"/>
          <w:sz w:val="18"/>
          <w:szCs w:val="18"/>
          <w:color w:val="auto"/>
        </w:rPr>
      </w:pPr>
    </w:p>
    <w:p>
      <w:pPr>
        <w:ind w:left="1800" w:right="679" w:hanging="178"/>
        <w:spacing w:after="0" w:line="308" w:lineRule="auto"/>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Original issue discount and PIK instruments may have unreliable valuations because their continuing accruals require continuing judgments about the collectability of the deferred payments and the value</w:t>
      </w:r>
    </w:p>
    <w:p>
      <w:pPr>
        <w:spacing w:after="0" w:line="33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79"/>
        <w:spacing w:after="0" w:line="261" w:lineRule="auto"/>
        <w:rPr>
          <w:sz w:val="20"/>
          <w:szCs w:val="20"/>
          <w:color w:val="auto"/>
        </w:rPr>
      </w:pPr>
      <w:r>
        <w:rPr>
          <w:rFonts w:ascii="Arial" w:cs="Arial" w:eastAsia="Arial" w:hAnsi="Arial"/>
          <w:sz w:val="18"/>
          <w:szCs w:val="18"/>
          <w:color w:val="auto"/>
        </w:rPr>
        <w:t>of any associated collateral. Original issue discount and PIK-income may also create uncertainty about the source of our cash distributions.</w:t>
      </w:r>
    </w:p>
    <w:p>
      <w:pPr>
        <w:spacing w:after="0" w:line="36" w:lineRule="exact"/>
        <w:rPr>
          <w:sz w:val="20"/>
          <w:szCs w:val="20"/>
          <w:color w:val="auto"/>
        </w:rPr>
      </w:pPr>
    </w:p>
    <w:p>
      <w:pPr>
        <w:jc w:val="both"/>
        <w:ind w:left="1800" w:right="679" w:hanging="178"/>
        <w:spacing w:after="0" w:line="25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we provide loans with interest-only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p>
      <w:pPr>
        <w:spacing w:after="0" w:line="52" w:lineRule="exact"/>
        <w:rPr>
          <w:rFonts w:ascii="Arial" w:cs="Arial" w:eastAsia="Arial" w:hAnsi="Arial"/>
          <w:sz w:val="18"/>
          <w:szCs w:val="18"/>
          <w:color w:val="auto"/>
        </w:rPr>
      </w:pPr>
    </w:p>
    <w:p>
      <w:pPr>
        <w:jc w:val="both"/>
        <w:ind w:left="1800" w:right="679" w:hanging="178"/>
        <w:spacing w:after="0" w:line="275"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accounting purposes, any cash distributions to stockholders representing original issue discount and PIK-income are not treated as coming from paid-in capital, even though the cash to pay them comes from the offering proceeds. As a result, despite the fact that a distribution representing original issue discount and PIK-income could be paid out of amounts invested by our stockholders, the 1940 Act does not require that stockholders be given notice of this fact by reporting it as a return of capital.</w:t>
      </w:r>
    </w:p>
    <w:p>
      <w:pPr>
        <w:spacing w:after="0" w:line="54" w:lineRule="exact"/>
        <w:rPr>
          <w:rFonts w:ascii="Arial" w:cs="Arial" w:eastAsia="Arial" w:hAnsi="Arial"/>
          <w:sz w:val="17"/>
          <w:szCs w:val="17"/>
          <w:color w:val="auto"/>
        </w:rPr>
      </w:pPr>
    </w:p>
    <w:p>
      <w:pPr>
        <w:jc w:val="both"/>
        <w:ind w:left="1800" w:right="679" w:hanging="178"/>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certain cases, we may recognize taxable income before or without receiving corresponding cash payments and, as a result, we may have difficulty meeting the annual distribution requirement necessary to maintain our tax treatment as a RIC.</w:t>
      </w:r>
    </w:p>
    <w:p>
      <w:pPr>
        <w:spacing w:after="0" w:line="170"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i w:val="1"/>
          <w:iCs w:val="1"/>
          <w:color w:val="auto"/>
        </w:rPr>
        <w:t>The interest rates of our loans to our portfolio companies that extend beyond 2021 might be subject to change based on recent regulatory changes.</w:t>
      </w:r>
    </w:p>
    <w:p>
      <w:pPr>
        <w:spacing w:after="0" w:line="103" w:lineRule="exact"/>
        <w:rPr>
          <w:sz w:val="20"/>
          <w:szCs w:val="20"/>
          <w:color w:val="auto"/>
        </w:rPr>
      </w:pPr>
    </w:p>
    <w:p>
      <w:pPr>
        <w:jc w:val="both"/>
        <w:ind w:left="1260" w:right="679" w:firstLine="360"/>
        <w:spacing w:after="0" w:line="251" w:lineRule="auto"/>
        <w:rPr>
          <w:sz w:val="20"/>
          <w:szCs w:val="20"/>
          <w:color w:val="auto"/>
        </w:rPr>
      </w:pPr>
      <w:r>
        <w:rPr>
          <w:rFonts w:ascii="Arial" w:cs="Arial" w:eastAsia="Arial" w:hAnsi="Arial"/>
          <w:sz w:val="17"/>
          <w:szCs w:val="17"/>
          <w:color w:val="auto"/>
        </w:rPr>
        <w:t>Actions by the BBA, regulators or law enforcement agencies may result in changes to the manner in which LIBOR is determined. Uncertainty as to the nature of such potential changes may adversely affect the market for LIBOR-based securities, including our portfolio of LIBOR-indexed, floating-rate debt securities. In addition, any further changes or reforms to the determination or supervision of LIBOR may result in a sudden or prolonged increase or decrease in reported LIBOR, which could have an adverse impact on the market for LIBOR-based securities or the value of our portfolio of LIBOR-indexed, floating-rate debt securities. For example, On July 27, 2017, the United Kingdom’s Financial Conduct Authority, which regulates LIBOR, announced that it intends to phase out LIBOR by the end of 2021. It is expected that a transition away from the widespread use of LIBOR to alternative rates will occur over the course of the next several years. As a result of this transition, interest rates on financial instruments tied to LIBOR rates, as well as the revenue and expenses associated with those financial instruments, may be adversely affected. Further, any uncertainty regarding the continued use and reliability of LIBOR as a benchmark interest rate could adversely affect the value of our financial instruments tied to LIBOR rates. 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called the Secured Overnight Financing Rate (“SOFR”). The first publication of SOFR was released in April 2018. Whether or not SOFR attains market traction as a LIBOR replacement remains a questions and the future of LIBOR at this time is uncertain.</w:t>
      </w:r>
    </w:p>
    <w:p>
      <w:pPr>
        <w:spacing w:after="0" w:line="114" w:lineRule="exact"/>
        <w:rPr>
          <w:sz w:val="20"/>
          <w:szCs w:val="20"/>
          <w:color w:val="auto"/>
        </w:rPr>
      </w:pPr>
    </w:p>
    <w:p>
      <w:pPr>
        <w:jc w:val="both"/>
        <w:ind w:left="1260" w:right="679" w:firstLine="360"/>
        <w:spacing w:after="0" w:line="252" w:lineRule="auto"/>
        <w:rPr>
          <w:sz w:val="20"/>
          <w:szCs w:val="20"/>
          <w:color w:val="auto"/>
        </w:rPr>
      </w:pPr>
      <w:r>
        <w:rPr>
          <w:rFonts w:ascii="Arial" w:cs="Arial" w:eastAsia="Arial" w:hAnsi="Arial"/>
          <w:sz w:val="17"/>
          <w:szCs w:val="17"/>
          <w:color w:val="auto"/>
        </w:rPr>
        <w:t>Additionally, on June 12, 2019 the Staff of the SEC’s Division of Corporate Finance, Division of Investment Management, Division of Trading and Markets, and Office of the Chief Accountant issued a statement about the potentially significant effects on financial markets and market participants when LIBOR is discontinued in 2021 and no longer available as a reference benchmark rate. The Staff encouraged all market participants to identify contracts that reference LIBOR and begin transitions to alternative rates. The elimination of LIBOR or any other changes or reforms to the determination or supervision of LIBOR could have an adverse impact on the market for or value of any LIBOR-linked securities, loans, and other financial obligations or extensions or credit held by or due to us or on our overall financial condition or results of operations. If LIBOR ceases to exist, we may need to renegotiate the credit agreements extending beyond 2021 with our portfolio companies that utilize LIBOR as a factor in determining the interest rate to replace LIBOR with the new standard that is established. In addition, the cessation of LIBOR could:</w:t>
      </w:r>
    </w:p>
    <w:p>
      <w:pPr>
        <w:spacing w:after="0" w:line="64" w:lineRule="exact"/>
        <w:rPr>
          <w:sz w:val="20"/>
          <w:szCs w:val="20"/>
          <w:color w:val="auto"/>
        </w:rPr>
      </w:pPr>
    </w:p>
    <w:p>
      <w:pPr>
        <w:jc w:val="both"/>
        <w:ind w:left="1800" w:right="679" w:hanging="178"/>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Adversely impact the pricing, liquidity, value of, return on and trading for a broad array of financial products, including any LIBOR-linked securities, loans and derivatives that are included in our assets and liabilities;</w:t>
      </w:r>
    </w:p>
    <w:p>
      <w:pPr>
        <w:spacing w:after="0" w:line="62" w:lineRule="exact"/>
        <w:rPr>
          <w:rFonts w:ascii="Arial" w:cs="Arial" w:eastAsia="Arial" w:hAnsi="Arial"/>
          <w:sz w:val="18"/>
          <w:szCs w:val="18"/>
          <w:color w:val="auto"/>
        </w:rPr>
      </w:pPr>
    </w:p>
    <w:p>
      <w:pPr>
        <w:jc w:val="both"/>
        <w:ind w:left="1800" w:right="679" w:hanging="178"/>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extensive changes to documentation that governs or references LIBOR or LIBOR-based products, including, for example, pursuant to time-consuming renegotiations of existing documentation to modify the terms of outstanding investments;</w:t>
      </w: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7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 in inquiries or other actions from regulators in respect of our preparation and readiness for the replacement of LIBOR with one or more alternative reference rates;</w:t>
      </w:r>
    </w:p>
    <w:p>
      <w:pPr>
        <w:spacing w:after="0" w:line="62" w:lineRule="exact"/>
        <w:rPr>
          <w:rFonts w:ascii="Arial" w:cs="Arial" w:eastAsia="Arial" w:hAnsi="Arial"/>
          <w:sz w:val="18"/>
          <w:szCs w:val="18"/>
          <w:color w:val="auto"/>
        </w:rPr>
      </w:pPr>
    </w:p>
    <w:p>
      <w:pPr>
        <w:jc w:val="both"/>
        <w:ind w:left="1800" w:right="679" w:hanging="178"/>
        <w:spacing w:after="0" w:line="25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 in disputes, litigation or other actions with portfolio companies, or other counterparties, regarding the interpretation and enforceability of provisions in our LIBOR-based investments, such as fallback language or other related provisions, including, in the case of fallbacks to the alternative reference rates, any economic, legal, operational or other impact resulting from the fundamental differences between LIBOR and the various alternative reference rates;</w:t>
      </w:r>
    </w:p>
    <w:p>
      <w:pPr>
        <w:spacing w:after="0" w:line="66" w:lineRule="exact"/>
        <w:rPr>
          <w:rFonts w:ascii="Arial" w:cs="Arial" w:eastAsia="Arial" w:hAnsi="Arial"/>
          <w:sz w:val="18"/>
          <w:szCs w:val="18"/>
          <w:color w:val="auto"/>
        </w:rPr>
      </w:pPr>
    </w:p>
    <w:p>
      <w:pPr>
        <w:jc w:val="both"/>
        <w:ind w:left="1800" w:right="679" w:hanging="178"/>
        <w:spacing w:after="0" w:line="259"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the transition and/or development of appropriate systems and analytics to effectively transition our risk management processes from LIBOR-based products to those based on one or more alternative reference rates, which may prove challenging given the limited history of the proposed alternative reference rates; and</w:t>
      </w:r>
    </w:p>
    <w:p>
      <w:pPr>
        <w:spacing w:after="0" w:line="78"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Cause us to incur additional costs in relation to any of the above factors.</w:t>
      </w:r>
    </w:p>
    <w:p>
      <w:pPr>
        <w:spacing w:after="0" w:line="225" w:lineRule="exact"/>
        <w:rPr>
          <w:sz w:val="20"/>
          <w:szCs w:val="20"/>
          <w:color w:val="auto"/>
        </w:rPr>
      </w:pPr>
    </w:p>
    <w:p>
      <w:pPr>
        <w:jc w:val="both"/>
        <w:ind w:left="1260" w:right="679"/>
        <w:spacing w:after="0" w:line="342" w:lineRule="auto"/>
        <w:rPr>
          <w:sz w:val="20"/>
          <w:szCs w:val="20"/>
          <w:color w:val="auto"/>
        </w:rPr>
      </w:pPr>
      <w:r>
        <w:rPr>
          <w:rFonts w:ascii="Arial" w:cs="Arial" w:eastAsia="Arial" w:hAnsi="Arial"/>
          <w:sz w:val="16"/>
          <w:szCs w:val="16"/>
          <w:b w:val="1"/>
          <w:bCs w:val="1"/>
          <w:i w:val="1"/>
          <w:iCs w:val="1"/>
          <w:color w:val="auto"/>
        </w:rPr>
        <w:t>We may choose to pay dividends in our own stock, including in connection with our Dividend Reinvestment Plan, in which case you may be required to pay U.S. federal income tax in excess of the cash you receive.</w:t>
      </w:r>
    </w:p>
    <w:p>
      <w:pPr>
        <w:spacing w:after="0" w:line="56" w:lineRule="exact"/>
        <w:rPr>
          <w:sz w:val="20"/>
          <w:szCs w:val="20"/>
          <w:color w:val="auto"/>
        </w:rPr>
      </w:pPr>
    </w:p>
    <w:p>
      <w:pPr>
        <w:jc w:val="both"/>
        <w:ind w:left="1260" w:right="679" w:firstLine="360"/>
        <w:spacing w:after="0" w:line="267" w:lineRule="auto"/>
        <w:rPr>
          <w:sz w:val="20"/>
          <w:szCs w:val="20"/>
          <w:color w:val="auto"/>
        </w:rPr>
      </w:pPr>
      <w:r>
        <w:rPr>
          <w:rFonts w:ascii="Arial" w:cs="Arial" w:eastAsia="Arial" w:hAnsi="Arial"/>
          <w:sz w:val="17"/>
          <w:szCs w:val="17"/>
          <w:color w:val="auto"/>
        </w:rPr>
        <w:t>We may distribute dividends that are payable predominantly in shares of our common stock, including in connection with our Dividend Reinvestment Plan. Based on certain guidance issued by the IRS, distributions from a publicly offered RIC that are payable in stock or cash at the election of stockholders will be treated as taxable dividends that may satisfy our minimum distribution requirements even if the total amount of cash to be distributed is limited, provided that at least 20% of such dividend is payable in cash. If too many stockholders elect to receive their distribution in cash, we must allocate the cash available for distribution among the stockholders electing to receive cash (with the balance of the distribution paid in shares of our common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U.S. federal income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 Furthermore, with respect to non-U.S. stockholders, we may be required to withhold U.S. federal tax with respect to such dividends, including in respect of all or a portion of such dividend that is payable in stock. In addition, if a significant number of our stockholders sell shares of our common stock in order to pay U.S. federal income taxes owed on dividends, it may put downward pressure on the trading price of our common stock.</w:t>
      </w:r>
    </w:p>
    <w:p>
      <w:pPr>
        <w:spacing w:after="0" w:line="190" w:lineRule="exact"/>
        <w:rPr>
          <w:sz w:val="20"/>
          <w:szCs w:val="20"/>
          <w:color w:val="auto"/>
        </w:rPr>
      </w:pPr>
    </w:p>
    <w:p>
      <w:pPr>
        <w:jc w:val="both"/>
        <w:ind w:left="1260" w:right="679"/>
        <w:spacing w:after="0" w:line="277" w:lineRule="auto"/>
        <w:rPr>
          <w:sz w:val="20"/>
          <w:szCs w:val="20"/>
          <w:color w:val="auto"/>
        </w:rPr>
      </w:pPr>
      <w:r>
        <w:rPr>
          <w:rFonts w:ascii="Arial" w:cs="Arial" w:eastAsia="Arial" w:hAnsi="Arial"/>
          <w:sz w:val="18"/>
          <w:szCs w:val="18"/>
          <w:b w:val="1"/>
          <w:bCs w:val="1"/>
          <w:i w:val="1"/>
          <w:iCs w:val="1"/>
          <w:color w:val="auto"/>
        </w:rPr>
        <w:t>There is a risk that our stockholders may not receive any distributions or that our distributions may not grow over time.</w:t>
      </w:r>
    </w:p>
    <w:p>
      <w:pPr>
        <w:spacing w:after="0" w:line="103" w:lineRule="exact"/>
        <w:rPr>
          <w:sz w:val="20"/>
          <w:szCs w:val="20"/>
          <w:color w:val="auto"/>
        </w:rPr>
      </w:pPr>
    </w:p>
    <w:p>
      <w:pPr>
        <w:jc w:val="both"/>
        <w:ind w:left="1260" w:right="679" w:firstLine="360"/>
        <w:spacing w:after="0" w:line="275" w:lineRule="auto"/>
        <w:rPr>
          <w:sz w:val="20"/>
          <w:szCs w:val="20"/>
          <w:color w:val="auto"/>
        </w:rPr>
      </w:pPr>
      <w:r>
        <w:rPr>
          <w:rFonts w:ascii="Arial" w:cs="Arial" w:eastAsia="Arial" w:hAnsi="Arial"/>
          <w:sz w:val="17"/>
          <w:szCs w:val="17"/>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BDC, we may be limited in our ability to make distributions. See “Business — Regulation as a Business Development Company” in Part I, Item 1 of this Form 10-K.</w:t>
      </w:r>
    </w:p>
    <w:p>
      <w:pPr>
        <w:spacing w:after="0" w:line="176" w:lineRule="exact"/>
        <w:rPr>
          <w:sz w:val="20"/>
          <w:szCs w:val="20"/>
          <w:color w:val="auto"/>
        </w:rPr>
      </w:pPr>
    </w:p>
    <w:p>
      <w:pPr>
        <w:jc w:val="both"/>
        <w:ind w:left="1260" w:right="679"/>
        <w:spacing w:after="0" w:line="263" w:lineRule="auto"/>
        <w:rPr>
          <w:sz w:val="20"/>
          <w:szCs w:val="20"/>
          <w:color w:val="auto"/>
        </w:rPr>
      </w:pPr>
      <w:r>
        <w:rPr>
          <w:rFonts w:ascii="Arial" w:cs="Arial" w:eastAsia="Arial" w:hAnsi="Arial"/>
          <w:sz w:val="18"/>
          <w:szCs w:val="18"/>
          <w:b w:val="1"/>
          <w:bCs w:val="1"/>
          <w:i w:val="1"/>
          <w:iCs w:val="1"/>
          <w:color w:val="auto"/>
        </w:rPr>
        <w:t>Capital markets may experience periods of disruption and instability. These market conditions may materially and adversely affect debt and equity capital markets in the United States and abroad, which may in the future have a negative impact on our business and operations.</w:t>
      </w:r>
    </w:p>
    <w:p>
      <w:pPr>
        <w:spacing w:after="0" w:line="103" w:lineRule="exact"/>
        <w:rPr>
          <w:sz w:val="20"/>
          <w:szCs w:val="20"/>
          <w:color w:val="auto"/>
        </w:rPr>
      </w:pPr>
    </w:p>
    <w:p>
      <w:pPr>
        <w:jc w:val="both"/>
        <w:ind w:left="1260" w:right="679" w:firstLine="360"/>
        <w:spacing w:after="0" w:line="291" w:lineRule="auto"/>
        <w:rPr>
          <w:sz w:val="20"/>
          <w:szCs w:val="20"/>
          <w:color w:val="auto"/>
        </w:rPr>
      </w:pPr>
      <w:r>
        <w:rPr>
          <w:rFonts w:ascii="Arial" w:cs="Arial" w:eastAsia="Arial" w:hAnsi="Arial"/>
          <w:sz w:val="16"/>
          <w:szCs w:val="16"/>
          <w:color w:val="auto"/>
        </w:rPr>
        <w:t>From time to time, capital markets may experience periods of disruption and instability. During such periods of market disruption and instability, we and other companies in the financial services sector may have limited access, if available, to alternative markets for debt and equity capital. Equity capital may be difficult to raise because, subject to some limited exceptions which will apply to us as a BDC, we will generally not be able to issue additional shares of our common stock at a price less than net asset value without first obtaining approval for such issuance from our stockholders and our independent directors. In addition, our ability to incur indebtedness (including by issuing preferred stock) is limited by applicable regulations such that our</w:t>
      </w:r>
    </w:p>
    <w:p>
      <w:pPr>
        <w:sectPr>
          <w:pgSz w:w="11900" w:h="16838" w:orient="portrait"/>
          <w:cols w:equalWidth="0" w:num="1">
            <w:col w:w="10139"/>
          </w:cols>
          <w:pgMar w:left="320" w:top="131" w:right="1440" w:bottom="1440" w:gutter="0" w:footer="0" w:header="0"/>
        </w:sectPr>
      </w:pPr>
    </w:p>
    <w:p>
      <w:pPr>
        <w:spacing w:after="0" w:line="35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rPr>
          <w:sz w:val="20"/>
          <w:szCs w:val="20"/>
          <w:color w:val="auto"/>
        </w:rPr>
      </w:pPr>
      <w:r>
        <w:rPr>
          <w:rFonts w:ascii="Arial" w:cs="Arial" w:eastAsia="Arial" w:hAnsi="Arial"/>
          <w:sz w:val="18"/>
          <w:szCs w:val="18"/>
          <w:color w:val="auto"/>
        </w:rPr>
        <w:t>asset coverage, as defined in the 1940 Act, must equal at least 200% immediately after each time we incur indebtedness. We are permitted, however, to increase that asset coverage ratio to at least 150% if we satisfy certain conditions. See “Risk Factors — Risks Relating to Our Business and Structure — The 1940 Act may allow us to incur additional leverage.” The debt capital that will be available, if at all, may be at a higher cost and on less favorable terms and conditions in the future. Any inability to raise capital could have a negative effect on our business, financial condition and results of operations.</w:t>
      </w:r>
    </w:p>
    <w:p>
      <w:pPr>
        <w:spacing w:after="0" w:line="108" w:lineRule="exact"/>
        <w:rPr>
          <w:sz w:val="20"/>
          <w:szCs w:val="20"/>
          <w:color w:val="auto"/>
        </w:rPr>
      </w:pPr>
    </w:p>
    <w:p>
      <w:pPr>
        <w:jc w:val="both"/>
        <w:ind w:left="1260" w:right="679" w:firstLine="360"/>
        <w:spacing w:after="0" w:line="268" w:lineRule="auto"/>
        <w:rPr>
          <w:sz w:val="20"/>
          <w:szCs w:val="20"/>
          <w:color w:val="auto"/>
        </w:rPr>
      </w:pPr>
      <w:r>
        <w:rPr>
          <w:rFonts w:ascii="Arial" w:cs="Arial" w:eastAsia="Arial" w:hAnsi="Arial"/>
          <w:sz w:val="16"/>
          <w:szCs w:val="16"/>
          <w:color w:val="auto"/>
        </w:rPr>
        <w:t>Given the extreme volatility and dislocation in the capital markets over the past several years, many BDCs have faced, and may in the future face, a challenging environment in which to raise or access capital. In addition, significant changes in the capital markets, including the extreme volatility and disruption over the past several years, has had, and may in the future have, a negative effect on the valuations of our investments and on the potential for liquidity events involving these investments. While most of our investments are not publicly traded, applicable accounting standards require us to assume as part of our valuation process that our investments are sold in a principal market-to-market participants (even if we plan on holding an investment through its maturity). As a result, volatility in the capital markets can adversely affect our investment valuations. Further, the illiquidity of our investments may make it difficult for us to sell such investments if required and to value such investments. As a result, we may realize significantly less than the value at which we will have recorded our investments. An inability to raise capital, and any required sale of our investments for liquidity purposes, could have a material adverse impact on our business, financial condition or results of operations. In addition, a prolonged period of market illiquidity may cause us to reduce the volume of loans and debt securities we originate and/or fund and adversely affect the value of our portfolio investments, which could have a material and adverse effect on our business, financial condition, results of operations and cash flows.</w:t>
      </w:r>
    </w:p>
    <w:p>
      <w:pPr>
        <w:spacing w:after="0" w:line="172"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b w:val="1"/>
          <w:bCs w:val="1"/>
          <w:i w:val="1"/>
          <w:iCs w:val="1"/>
          <w:color w:val="auto"/>
        </w:rPr>
        <w:t>Global economic, political and market conditions, including potential economic recession, may adversely affect our business, results of operations and financial condition, including our revenue growth and profitability.</w:t>
      </w:r>
    </w:p>
    <w:p>
      <w:pPr>
        <w:spacing w:after="0" w:line="114" w:lineRule="exact"/>
        <w:rPr>
          <w:sz w:val="20"/>
          <w:szCs w:val="20"/>
          <w:color w:val="auto"/>
        </w:rPr>
      </w:pPr>
    </w:p>
    <w:p>
      <w:pPr>
        <w:jc w:val="both"/>
        <w:ind w:left="1260" w:right="679" w:firstLine="360"/>
        <w:spacing w:after="0" w:line="268" w:lineRule="auto"/>
        <w:rPr>
          <w:sz w:val="20"/>
          <w:szCs w:val="20"/>
          <w:color w:val="auto"/>
        </w:rPr>
      </w:pPr>
      <w:r>
        <w:rPr>
          <w:rFonts w:ascii="Arial" w:cs="Arial" w:eastAsia="Arial" w:hAnsi="Arial"/>
          <w:sz w:val="16"/>
          <w:szCs w:val="16"/>
          <w:color w:val="auto"/>
        </w:rPr>
        <w:t>The current global financial market situation, as well as various social and political circumstances in the United States and around the world (including wars and other forms of conflict, terrorist acts, security operations and catastrophic events such as fires, floods, earthquakes, tornadoes, hurricanes and global public health emergencies), may contribute to increased market volatility and economic uncertainties or deterioration in the United States and worldwide. For example, the recent outbreak of COVID-19, a novel strain of coronavirus, in many countries, including the United States, continues to adversely impact global commercial activity and has contributed to significant volatility in financial markets. The outbreak of COVID-19 may have a material adverse impact on the ability of our portfolio companies to fulfill their end customers’ orders due to supply chain delays, limited access to key commodities or technologies or other events that impact their manufacturers or their suppliers. This in turn may affect their ability to meet their obligations to us. Some economists and major investment banks have expressed concern that the continued spread of the virus globally could lead to a world-wide economic downturn or recession. Many manufacturers of goods in Asia and Europe have seen a downturn in production due to the suspension of business and temporary closure of factories in an attempt to curb the spread of the illness. As the impact of COVID-19 continues to spread worldwide, similar impacts may occur with respect to affected countries. Such events have affected, and may in the future affect, the global and U.S. capital markets, and our business, financial condition or results of operations.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Economic recessions or downturns could impair our portfolio companies and harm our operating results.</w:t>
      </w:r>
    </w:p>
    <w:p>
      <w:pPr>
        <w:spacing w:after="0" w:line="181" w:lineRule="exact"/>
        <w:rPr>
          <w:sz w:val="20"/>
          <w:szCs w:val="20"/>
          <w:color w:val="auto"/>
        </w:rPr>
      </w:pPr>
    </w:p>
    <w:p>
      <w:pPr>
        <w:jc w:val="both"/>
        <w:ind w:left="1260" w:right="679" w:firstLine="360"/>
        <w:spacing w:after="0" w:line="253" w:lineRule="auto"/>
        <w:rPr>
          <w:sz w:val="20"/>
          <w:szCs w:val="20"/>
          <w:color w:val="auto"/>
        </w:rPr>
      </w:pPr>
      <w:r>
        <w:rPr>
          <w:rFonts w:ascii="Arial" w:cs="Arial" w:eastAsia="Arial" w:hAnsi="Arial"/>
          <w:sz w:val="17"/>
          <w:szCs w:val="17"/>
          <w:color w:val="auto"/>
        </w:rPr>
        <w:t>Many of the portfolio companies in which we make investments may be susceptible to economic slowdowns or recessions and may be unable to repay the loans we made to them during these periods.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There may be no future Spin-Off transactions, stock repurchase offers or other liquidity event.</w:t>
      </w:r>
    </w:p>
    <w:p>
      <w:pPr>
        <w:spacing w:after="0" w:line="144" w:lineRule="exact"/>
        <w:rPr>
          <w:sz w:val="20"/>
          <w:szCs w:val="20"/>
          <w:color w:val="auto"/>
        </w:rPr>
      </w:pPr>
    </w:p>
    <w:p>
      <w:pPr>
        <w:jc w:val="both"/>
        <w:ind w:left="1260" w:right="679" w:firstLine="360"/>
        <w:spacing w:after="0"/>
        <w:rPr>
          <w:sz w:val="20"/>
          <w:szCs w:val="20"/>
          <w:color w:val="auto"/>
        </w:rPr>
      </w:pPr>
      <w:r>
        <w:rPr>
          <w:rFonts w:ascii="Arial" w:cs="Arial" w:eastAsia="Arial" w:hAnsi="Arial"/>
          <w:sz w:val="18"/>
          <w:szCs w:val="18"/>
          <w:color w:val="auto"/>
        </w:rPr>
        <w:t>No assurances can be made that any Spin-Off transaction will occur, and investors should not rely on a future Spin-Off transaction as a liquidity option. Because RGC would be managing each of us and the Public Fund and/or Liquidating Fund, if any, the 1940 Act prohibits entities under common control from engaging in certain transactions, we will likely be required to obtain exemptive and/or no-action relief from the SEC to permit us to transfer assets to the Public Fund and/or Liquidating Fund, as well as with respect to other aspects relating to a Spin-Off transaction.</w:t>
      </w:r>
    </w:p>
    <w:p>
      <w:pPr>
        <w:spacing w:after="0" w:line="122" w:lineRule="exact"/>
        <w:rPr>
          <w:sz w:val="20"/>
          <w:szCs w:val="20"/>
          <w:color w:val="auto"/>
        </w:rPr>
      </w:pPr>
    </w:p>
    <w:p>
      <w:pPr>
        <w:jc w:val="both"/>
        <w:ind w:left="1260" w:right="679" w:firstLine="360"/>
        <w:spacing w:after="0" w:line="238" w:lineRule="auto"/>
        <w:rPr>
          <w:sz w:val="20"/>
          <w:szCs w:val="20"/>
          <w:color w:val="auto"/>
        </w:rPr>
      </w:pPr>
      <w:r>
        <w:rPr>
          <w:rFonts w:ascii="Arial" w:cs="Arial" w:eastAsia="Arial" w:hAnsi="Arial"/>
          <w:sz w:val="18"/>
          <w:szCs w:val="18"/>
          <w:color w:val="auto"/>
        </w:rPr>
        <w:t>We and RGC have applied for exemptive relief from the SEC to engage in certain otherwise prohibited transactions in order to allow our stockholders to exchange their shares into shares of the Public Fund or Liquidating Fund, subject to the Board of Directors’ determination that such exchange is in our best interest and the best interest of our stockholders. There can be no assurance that we will be able to obtain such exemptive and/or no-action relief from the SEC. If we are unable to do so, then we will continue our operations in the manner otherwise set forth in this annual report on Form 10-K and in the offering documents related to the Initial Private Offering. Alternatively, if we do obtain such exemptive and/or no-action relief, our Board of Directors would determine whether (and when) to effectuate any Spin-Off transaction, subject to the receipt of any required stockholder approvals.</w:t>
      </w:r>
    </w:p>
    <w:p>
      <w:pPr>
        <w:spacing w:after="0" w:line="124" w:lineRule="exact"/>
        <w:rPr>
          <w:sz w:val="20"/>
          <w:szCs w:val="20"/>
          <w:color w:val="auto"/>
        </w:rPr>
      </w:pPr>
    </w:p>
    <w:p>
      <w:pPr>
        <w:jc w:val="both"/>
        <w:ind w:left="1260" w:right="679" w:firstLine="360"/>
        <w:spacing w:after="0" w:line="267" w:lineRule="auto"/>
        <w:rPr>
          <w:sz w:val="20"/>
          <w:szCs w:val="20"/>
          <w:color w:val="auto"/>
        </w:rPr>
      </w:pPr>
      <w:r>
        <w:rPr>
          <w:rFonts w:ascii="Arial" w:cs="Arial" w:eastAsia="Arial" w:hAnsi="Arial"/>
          <w:sz w:val="16"/>
          <w:szCs w:val="16"/>
          <w:color w:val="auto"/>
        </w:rPr>
        <w:t>The Company may exclude any investor from participating in the Spin-Off transaction if, in the reasonable discretion of the Company, there is a substantial likelihood that such investor’s exchange of shares of our common stock at such time would cause us, the Public Fund or Liquidating Fund, to (i) be in violation of, or noncompliance with, any law or regulation to which such entity is or would be subject or (ii) be deemed to hold “plan assets” under ERISA or Section 4975 of the Code because the investments of Benefit Plan Investors are deemed to be significant. If a Spin-Off transaction does occur, although it is expected that any incentive fee payable in connection with the Spin-Off transaction will be calculated using the methodology set forth in “Note 7</w:t>
      </w:r>
    </w:p>
    <w:p>
      <w:pPr>
        <w:spacing w:after="0" w:line="1" w:lineRule="exact"/>
        <w:rPr>
          <w:sz w:val="20"/>
          <w:szCs w:val="20"/>
          <w:color w:val="auto"/>
        </w:rPr>
      </w:pPr>
    </w:p>
    <w:p>
      <w:pPr>
        <w:jc w:val="both"/>
        <w:ind w:left="1260" w:right="679"/>
        <w:spacing w:after="0" w:line="236" w:lineRule="auto"/>
        <w:rPr>
          <w:sz w:val="20"/>
          <w:szCs w:val="20"/>
          <w:color w:val="auto"/>
        </w:rPr>
      </w:pPr>
      <w:r>
        <w:rPr>
          <w:rFonts w:ascii="Arial" w:cs="Arial" w:eastAsia="Arial" w:hAnsi="Arial"/>
          <w:sz w:val="18"/>
          <w:szCs w:val="18"/>
          <w:color w:val="auto"/>
        </w:rPr>
        <w:t>— Related Party Agreements and Transactions” to our financial statements in Part II, Item 8 of this Form 10-K (taking into account the pro rata portion of our assets and liabilities relating to shares of our common stock being exchanged on an as-liquidated basis), the final terms of a Spin-Off transaction will be determined at the time of any such Spin-Off transaction, and there is no guarantee that such terms will be favorable to investors. See “Business — Investor Optionality; Potential Spin-Offs” in Part I, Item 1 of this Form 10-K for more information. While we expect that a Spin-Off transaction would likely be taxable to a stockholder that chooses to participate in the Spin-Off transaction, we cannot at this time predict the specific tax consequences of any future Spin-Off transaction that may occur.</w:t>
      </w:r>
    </w:p>
    <w:p>
      <w:pPr>
        <w:spacing w:after="0" w:line="111" w:lineRule="exact"/>
        <w:rPr>
          <w:sz w:val="20"/>
          <w:szCs w:val="20"/>
          <w:color w:val="auto"/>
        </w:rPr>
      </w:pPr>
    </w:p>
    <w:p>
      <w:pPr>
        <w:jc w:val="both"/>
        <w:ind w:left="1260" w:right="679" w:firstLine="360"/>
        <w:spacing w:after="0" w:line="272" w:lineRule="auto"/>
        <w:rPr>
          <w:sz w:val="20"/>
          <w:szCs w:val="20"/>
          <w:color w:val="auto"/>
        </w:rPr>
      </w:pPr>
      <w:r>
        <w:rPr>
          <w:rFonts w:ascii="Arial" w:cs="Arial" w:eastAsia="Arial" w:hAnsi="Arial"/>
          <w:sz w:val="16"/>
          <w:szCs w:val="16"/>
          <w:color w:val="auto"/>
        </w:rPr>
        <w:t>While we may also make the Trading Platform operated by The Nasdaq Private Market, LLC or its affiliates available to stockholders, there can be no guarantee that we will do so or that secondary trading opportunities will be available for all stockholders who wish to sell their shares. Secondary trading of shares of common stock on the Trading Platform, if available, would be subject to applicable law and will be restricted solely to accredited investors. Stockholders who access the Trading Platform will be subject to certain transaction fees that will not be reimbursed by the Company or by RGC. Any such secondary trading may result in shares being purchase or sold at a price above or below the Company’s last calculated net asset value, and if you sell shares at a price below your initial purchase price, you may lose money on your investment in the Company.</w:t>
      </w:r>
    </w:p>
    <w:p>
      <w:pPr>
        <w:spacing w:after="0" w:line="100" w:lineRule="exact"/>
        <w:rPr>
          <w:sz w:val="20"/>
          <w:szCs w:val="20"/>
          <w:color w:val="auto"/>
        </w:rPr>
      </w:pPr>
    </w:p>
    <w:p>
      <w:pPr>
        <w:jc w:val="both"/>
        <w:ind w:left="1260" w:right="679" w:firstLine="360"/>
        <w:spacing w:after="0" w:line="284" w:lineRule="auto"/>
        <w:rPr>
          <w:sz w:val="20"/>
          <w:szCs w:val="20"/>
          <w:color w:val="auto"/>
        </w:rPr>
      </w:pPr>
      <w:r>
        <w:rPr>
          <w:rFonts w:ascii="Arial" w:cs="Arial" w:eastAsia="Arial" w:hAnsi="Arial"/>
          <w:sz w:val="16"/>
          <w:szCs w:val="16"/>
          <w:color w:val="auto"/>
        </w:rPr>
        <w:t>Additionally, while we may from time to time offer to repurchase a portion of the shares of our common stock, we have no obligation to do so. We will only offer to repurchase shares on such terms as may be determined by our Board of Directors in its complete and absolute discretion. There is no assurance that our Board of Directors will exercise its discretion to offer to repurchase shares or that there will be sufficient funds</w:t>
      </w:r>
    </w:p>
    <w:p>
      <w:pPr>
        <w:spacing w:after="0" w:line="33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679"/>
        <w:spacing w:after="0" w:line="258" w:lineRule="auto"/>
        <w:rPr>
          <w:sz w:val="20"/>
          <w:szCs w:val="20"/>
          <w:color w:val="auto"/>
        </w:rPr>
      </w:pPr>
      <w:r>
        <w:rPr>
          <w:rFonts w:ascii="Arial" w:cs="Arial" w:eastAsia="Arial" w:hAnsi="Arial"/>
          <w:sz w:val="16"/>
          <w:szCs w:val="16"/>
          <w:color w:val="auto"/>
        </w:rPr>
        <w:t>available to accommodate all of our stockholders’ requests for repurchase. As a result, we may repurchase less than the full amount of shares that you request to have repurchased in connection with any repurchase offer. Any periodic repurchase offers will be subject in part to our available cash and compliance with the BDC and RIC qualification and diversification rules promulgated under the 1940 Act and the Code, respectively. If we do not repurchase the full amount of your shares that you have requested to be repurchased, or we determine not to make repurchases of our shares, there can be no guarantee that you will be able to dispose of your shares.</w:t>
      </w:r>
    </w:p>
    <w:p>
      <w:pPr>
        <w:spacing w:after="0" w:line="163" w:lineRule="exact"/>
        <w:rPr>
          <w:sz w:val="20"/>
          <w:szCs w:val="20"/>
          <w:color w:val="auto"/>
        </w:rPr>
      </w:pPr>
    </w:p>
    <w:p>
      <w:pPr>
        <w:jc w:val="both"/>
        <w:ind w:left="1260" w:right="679"/>
        <w:spacing w:after="0" w:line="235" w:lineRule="auto"/>
        <w:rPr>
          <w:sz w:val="20"/>
          <w:szCs w:val="20"/>
          <w:color w:val="auto"/>
        </w:rPr>
      </w:pPr>
      <w:r>
        <w:rPr>
          <w:rFonts w:ascii="Arial" w:cs="Arial" w:eastAsia="Arial" w:hAnsi="Arial"/>
          <w:sz w:val="18"/>
          <w:szCs w:val="18"/>
          <w:b w:val="1"/>
          <w:bCs w:val="1"/>
          <w:i w:val="1"/>
          <w:iCs w:val="1"/>
          <w:color w:val="auto"/>
        </w:rPr>
        <w:t>Terrorist attacks, acts of war or widespread health emergencies or natural disasters may affect any market for our common stock, impact the businesses in which we invest and harm our business, operating results and financial condition.</w:t>
      </w:r>
    </w:p>
    <w:p>
      <w:pPr>
        <w:spacing w:after="0" w:line="94" w:lineRule="exact"/>
        <w:rPr>
          <w:sz w:val="20"/>
          <w:szCs w:val="20"/>
          <w:color w:val="auto"/>
        </w:rPr>
      </w:pPr>
    </w:p>
    <w:p>
      <w:pPr>
        <w:jc w:val="both"/>
        <w:ind w:left="1260" w:right="679" w:firstLine="360"/>
        <w:spacing w:after="0" w:line="238" w:lineRule="auto"/>
        <w:rPr>
          <w:sz w:val="20"/>
          <w:szCs w:val="20"/>
          <w:color w:val="auto"/>
        </w:rPr>
      </w:pPr>
      <w:r>
        <w:rPr>
          <w:rFonts w:ascii="Arial" w:cs="Arial" w:eastAsia="Arial" w:hAnsi="Arial"/>
          <w:sz w:val="17"/>
          <w:szCs w:val="17"/>
          <w:color w:val="auto"/>
        </w:rPr>
        <w:t>Terrorist acts, acts of war, widespread health emergencies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widespread health emergencies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natural disasters and widespread health emergencies are generally uninsurable.</w:t>
      </w:r>
    </w:p>
    <w:p>
      <w:pPr>
        <w:spacing w:after="0" w:line="177" w:lineRule="exact"/>
        <w:rPr>
          <w:sz w:val="20"/>
          <w:szCs w:val="20"/>
          <w:color w:val="auto"/>
        </w:rPr>
      </w:pPr>
    </w:p>
    <w:p>
      <w:pPr>
        <w:jc w:val="both"/>
        <w:ind w:left="1260" w:right="679"/>
        <w:spacing w:after="0" w:line="246" w:lineRule="auto"/>
        <w:rPr>
          <w:sz w:val="20"/>
          <w:szCs w:val="20"/>
          <w:color w:val="auto"/>
        </w:rPr>
      </w:pPr>
      <w:r>
        <w:rPr>
          <w:rFonts w:ascii="Arial" w:cs="Arial" w:eastAsia="Arial" w:hAnsi="Arial"/>
          <w:sz w:val="18"/>
          <w:szCs w:val="18"/>
          <w:b w:val="1"/>
          <w:bCs w:val="1"/>
          <w:i w:val="1"/>
          <w:iCs w:val="1"/>
          <w:color w:val="auto"/>
        </w:rPr>
        <w:t>Events outside of our control, including widespread public health emergencies, may negatively affect our results of operations and financial performance.</w:t>
      </w:r>
    </w:p>
    <w:p>
      <w:pPr>
        <w:spacing w:after="0" w:line="116" w:lineRule="exact"/>
        <w:rPr>
          <w:sz w:val="20"/>
          <w:szCs w:val="20"/>
          <w:color w:val="auto"/>
        </w:rPr>
      </w:pPr>
    </w:p>
    <w:p>
      <w:pPr>
        <w:jc w:val="both"/>
        <w:ind w:left="1260" w:right="679" w:firstLine="360"/>
        <w:spacing w:after="0" w:line="268" w:lineRule="auto"/>
        <w:rPr>
          <w:sz w:val="20"/>
          <w:szCs w:val="20"/>
          <w:color w:val="auto"/>
        </w:rPr>
      </w:pPr>
      <w:r>
        <w:rPr>
          <w:rFonts w:ascii="Arial" w:cs="Arial" w:eastAsia="Arial" w:hAnsi="Arial"/>
          <w:sz w:val="16"/>
          <w:szCs w:val="16"/>
          <w:color w:val="auto"/>
        </w:rPr>
        <w:t>Periods of market volatility may continue to occur in response to pandemics or other events outside of our control. These types of events could adversely affect our operating results. For example, in December 2019, COVID-19 (a novel strain of coronavirus) surfaced in Wuhan, China and has now been detected globally on a widespread basis (including in the United States). The coronavirus pandemic has resulted in the temporary closure of many corporate offices, retail stores, and manufacturing facilities and factories globally, as well as border closings, quarantines, cancellations, disruptions to supply chains and customer activity, and general concern and uncertainty. As the potential impact on global markets from the coronavirus is difficult to predict, the extent to which the coronavirus may negatively affect our operating results or the duration of any potential business disruption is uncertain. Any potential impact to results will depend to a large extent on future developments and new information that may emerge regarding the duration and severity of the coronavirus and the actions taken by authorities and other entities to contain the coronavirus or treat its impact, all of which are beyond our control. Additionally, the coronavirus outbreak may exacerbate other pre-existing political, social and economic risks in certain countries. The impact of the outbreak may be short term or may last for an extended period of time. These potential impacts, while uncertain, could adversely affect our operating results.</w:t>
      </w:r>
    </w:p>
    <w:p>
      <w:pPr>
        <w:spacing w:after="0" w:line="175"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b w:val="1"/>
          <w:bCs w:val="1"/>
          <w:i w:val="1"/>
          <w:iCs w:val="1"/>
          <w:color w:val="auto"/>
        </w:rPr>
        <w:t>For any period that we do not qualify as a “publicly offered regulated investment company,” as defined in the Code, U.S. stockholders that are individuals, trusts or estates will be taxed as though they received a distribution of some of our expenses.</w:t>
      </w:r>
    </w:p>
    <w:p>
      <w:pPr>
        <w:spacing w:after="0" w:line="114" w:lineRule="exact"/>
        <w:rPr>
          <w:sz w:val="20"/>
          <w:szCs w:val="20"/>
          <w:color w:val="auto"/>
        </w:rPr>
      </w:pPr>
    </w:p>
    <w:p>
      <w:pPr>
        <w:jc w:val="both"/>
        <w:ind w:left="1260" w:right="679" w:firstLine="360"/>
        <w:spacing w:after="0" w:line="253" w:lineRule="auto"/>
        <w:rPr>
          <w:sz w:val="20"/>
          <w:szCs w:val="20"/>
          <w:color w:val="auto"/>
        </w:rPr>
      </w:pPr>
      <w:r>
        <w:rPr>
          <w:rFonts w:ascii="Arial" w:cs="Arial" w:eastAsia="Arial" w:hAnsi="Arial"/>
          <w:sz w:val="17"/>
          <w:szCs w:val="17"/>
          <w:color w:val="auto"/>
        </w:rPr>
        <w:t>A “publicly offered regulated investment company” is a RIC whose shares are either (i) continuously offered pursuant to a public offering, (ii) regularly traded on an established securities market or (iii) held by at least 500 persons at all times during the taxable year. We currently do not qualify as a publicly offered RIC; we may qualify as a publicly offered RIC for future taxable years. For any period that we are not a publicly offered RIC, a U.S. non-corporate stockholder’s allocable portion of our affected expenses, including our management fees, is treated as an additional distribution to the stockholder and will be deductible by such stockholder only to the extent permitted under the limitations described below. In particular, these expenses, which are “miscellaneous itemized deductions”, are not currently deductible by an individual or other non-corporate investor (and, beginning in 2026, will be deductible only to the extent they exceed 2% of such a stockholder’s adjusted gross income, and are not deductible for alternative minimum tax purposes).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subject to risks in using custodians, administrators and other agents.</w:t>
      </w:r>
    </w:p>
    <w:p>
      <w:pPr>
        <w:spacing w:after="0" w:line="144" w:lineRule="exact"/>
        <w:rPr>
          <w:sz w:val="20"/>
          <w:szCs w:val="20"/>
          <w:color w:val="auto"/>
        </w:rPr>
      </w:pPr>
    </w:p>
    <w:p>
      <w:pPr>
        <w:jc w:val="both"/>
        <w:ind w:left="1260" w:right="679" w:firstLine="360"/>
        <w:spacing w:after="0" w:line="291" w:lineRule="auto"/>
        <w:rPr>
          <w:sz w:val="20"/>
          <w:szCs w:val="20"/>
          <w:color w:val="auto"/>
        </w:rPr>
      </w:pPr>
      <w:r>
        <w:rPr>
          <w:rFonts w:ascii="Arial" w:cs="Arial" w:eastAsia="Arial" w:hAnsi="Arial"/>
          <w:sz w:val="17"/>
          <w:szCs w:val="17"/>
          <w:color w:val="auto"/>
        </w:rPr>
        <w:t>We depend on the services of custodians, administrators and other agents to carry out certain securities transactions and administrative services for us. In the event of the insolvency of a custodian, we may not be</w:t>
      </w:r>
    </w:p>
    <w:p>
      <w:pPr>
        <w:spacing w:after="0" w:line="3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301" w:lineRule="auto"/>
        <w:rPr>
          <w:sz w:val="20"/>
          <w:szCs w:val="20"/>
          <w:color w:val="auto"/>
        </w:rPr>
      </w:pPr>
      <w:r>
        <w:rPr>
          <w:rFonts w:ascii="Arial" w:cs="Arial" w:eastAsia="Arial" w:hAnsi="Arial"/>
          <w:sz w:val="16"/>
          <w:szCs w:val="16"/>
          <w:color w:val="auto"/>
        </w:rPr>
        <w:t>able to recover equivalent assets in full as we will rank among the custodian’s unsecured creditors in relation to assets which the custodian borrows, lends or otherwise uses. In addition, our cash held with a custodian may not be segregated from the custodian’s own cash, and we therefore may rank as unsecured creditors in relation thereto. The inability to recover assets from the custodian could have a material impact on our performance.</w:t>
      </w:r>
    </w:p>
    <w:p>
      <w:pPr>
        <w:spacing w:after="0" w:line="157" w:lineRule="exact"/>
        <w:rPr>
          <w:sz w:val="20"/>
          <w:szCs w:val="20"/>
          <w:color w:val="auto"/>
        </w:rPr>
      </w:pPr>
    </w:p>
    <w:p>
      <w:pPr>
        <w:jc w:val="both"/>
        <w:ind w:left="1260" w:right="679"/>
        <w:spacing w:after="0" w:line="277" w:lineRule="auto"/>
        <w:rPr>
          <w:sz w:val="20"/>
          <w:szCs w:val="20"/>
          <w:color w:val="auto"/>
        </w:rPr>
      </w:pPr>
      <w:r>
        <w:rPr>
          <w:rFonts w:ascii="Arial" w:cs="Arial" w:eastAsia="Arial" w:hAnsi="Arial"/>
          <w:sz w:val="18"/>
          <w:szCs w:val="18"/>
          <w:b w:val="1"/>
          <w:bCs w:val="1"/>
          <w:i w:val="1"/>
          <w:iCs w:val="1"/>
          <w:color w:val="auto"/>
        </w:rPr>
        <w:t>We will expend significant financial and other resources to comply with the requirements of being a public reporting entity.</w:t>
      </w:r>
    </w:p>
    <w:p>
      <w:pPr>
        <w:spacing w:after="0" w:line="89"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6"/>
          <w:szCs w:val="16"/>
          <w:color w:val="auto"/>
        </w:rPr>
        <w:t>As a public reporting entity, we are subject to the reporting requirements of the Exchange Act and certain requirements of the Sarbanes-Oxley Act. These requirements may place a strain on our systems and resources. The Exchange Act requires that we file annual, quarterly and current reports with respect to our business and financial condition. The Sarbanes-Oxley Act requires that we maintain effective disclosure controls and procedures and internal control over financial reporting, which are discussed below. See “Business — Regulation as a Business Development Company” in Part I, Item 1 of this Form 10-K. In order to maintain and improve the effectiveness of our disclosure controls and procedures and internal controls, significant resources and management oversight is required. We will continue to implement procedures, processes, policies and practices for the purpose of addressing the standards and requirements applicable to public companies. These activities may divert management’s attention from other business concerns, which could have a material adverse effect on our business, financial condition, results of operations and cash flows. We expect to incur significant additional annual expenses related to these steps and, among other things, directors’ and officers’ liability insurance, director fees, reporting requirements of the SEC, transfer agent fees, additional administrative expenses payable to our Administrator to compensate them for hiring additional accounting, legal and administrative personnel, increased auditing and legal fees and similar expenses.</w:t>
      </w:r>
    </w:p>
    <w:p>
      <w:pPr>
        <w:spacing w:after="0" w:line="100"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7"/>
          <w:szCs w:val="17"/>
          <w:color w:val="auto"/>
        </w:rPr>
        <w:t>The systems and resources necessary to comply with public company reporting requirements will increase further once we cease to be an “emerging growth company” under the JOBS Act. As long as we remain an emerging growth company, we intend to take advantage of certain exemptions from various reporting requirements that are applicable to other public companies, including, but not limited to, not being required to comply with the auditor attestation requirements of Section 404 of the Sarbanes-Oxley Act. We will remain an emerging growth company for up to five years following an IPO, if any, although if the market value of our common stock that is held by non-affiliates exceeds $700 million as of any June 30 before that time, we would cease to be an emerging growth company as of the following December 31. See “Business — Implications of Being an Emerging Growth Company” in Part I, Item 1 of this Form 10-K.</w:t>
      </w:r>
    </w:p>
    <w:p>
      <w:pPr>
        <w:spacing w:after="0" w:line="181" w:lineRule="exact"/>
        <w:rPr>
          <w:sz w:val="20"/>
          <w:szCs w:val="20"/>
          <w:color w:val="auto"/>
        </w:rPr>
      </w:pPr>
    </w:p>
    <w:p>
      <w:pPr>
        <w:jc w:val="both"/>
        <w:ind w:left="1260" w:right="679"/>
        <w:spacing w:after="0" w:line="340" w:lineRule="auto"/>
        <w:rPr>
          <w:sz w:val="20"/>
          <w:szCs w:val="20"/>
          <w:color w:val="auto"/>
        </w:rPr>
      </w:pPr>
      <w:r>
        <w:rPr>
          <w:rFonts w:ascii="Arial" w:cs="Arial" w:eastAsia="Arial" w:hAnsi="Arial"/>
          <w:sz w:val="15"/>
          <w:szCs w:val="15"/>
          <w:b w:val="1"/>
          <w:bCs w:val="1"/>
          <w:i w:val="1"/>
          <w:iCs w:val="1"/>
          <w:color w:val="auto"/>
        </w:rPr>
        <w:t>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spacing w:after="0" w:line="63"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7"/>
          <w:szCs w:val="17"/>
          <w:color w:val="auto"/>
        </w:rPr>
        <w:t>We are obligated to maintain proper and effective internal control over financial reporting, including the internal control evaluation and certification requirements of Section 404 of the Sarbanes-Oxley Act (“Section 404”). We will not be required to comply with all of the requirements under Section 404 until the date we are no longer an emerging growth company under the JOBS Act. Accordingly, our internal controls over financial reporting do not currently meet all of the standards contemplated by Section 404 that we will eventually be required to meet. Specifically, we are required to conduct annual management assessments of the effectiveness of our internal controls over financial reporting. However, our independent registered public accounting firm will not be required to formally attest to the effectiveness of our internal control over financial reporting until the date we are no longer an emerging growth company under the JOBS Act.</w:t>
      </w:r>
    </w:p>
    <w:p>
      <w:pPr>
        <w:spacing w:after="0" w:line="100" w:lineRule="exact"/>
        <w:rPr>
          <w:sz w:val="20"/>
          <w:szCs w:val="20"/>
          <w:color w:val="auto"/>
        </w:rPr>
      </w:pPr>
    </w:p>
    <w:p>
      <w:pPr>
        <w:jc w:val="both"/>
        <w:ind w:left="1260" w:right="679" w:firstLine="360"/>
        <w:spacing w:after="0" w:line="293" w:lineRule="auto"/>
        <w:rPr>
          <w:sz w:val="20"/>
          <w:szCs w:val="20"/>
          <w:color w:val="auto"/>
        </w:rPr>
      </w:pPr>
      <w:r>
        <w:rPr>
          <w:rFonts w:ascii="Arial" w:cs="Arial" w:eastAsia="Arial" w:hAnsi="Arial"/>
          <w:sz w:val="16"/>
          <w:szCs w:val="16"/>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3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Private funds that are excluded from the definition of “investment company” either pursuant to Section 3(c)</w:t>
      </w:r>
    </w:p>
    <w:p>
      <w:pPr>
        <w:spacing w:after="0" w:line="35" w:lineRule="exact"/>
        <w:rPr>
          <w:sz w:val="20"/>
          <w:szCs w:val="20"/>
          <w:color w:val="auto"/>
        </w:rPr>
      </w:pPr>
    </w:p>
    <w:p>
      <w:pPr>
        <w:jc w:val="both"/>
        <w:ind w:left="1260" w:right="679" w:firstLine="2"/>
        <w:spacing w:after="0" w:line="267" w:lineRule="auto"/>
        <w:tabs>
          <w:tab w:leader="none" w:pos="1525" w:val="left"/>
        </w:tabs>
        <w:numPr>
          <w:ilvl w:val="0"/>
          <w:numId w:val="33"/>
        </w:numPr>
        <w:rPr>
          <w:rFonts w:ascii="Arial" w:cs="Arial" w:eastAsia="Arial" w:hAnsi="Arial"/>
          <w:sz w:val="16"/>
          <w:szCs w:val="16"/>
          <w:color w:val="auto"/>
        </w:rPr>
      </w:pPr>
      <w:r>
        <w:rPr>
          <w:rFonts w:ascii="Arial" w:cs="Arial" w:eastAsia="Arial" w:hAnsi="Arial"/>
          <w:sz w:val="16"/>
          <w:szCs w:val="16"/>
          <w:color w:val="auto"/>
        </w:rPr>
        <w:t>or 3(c)(7) of the 1940 Act are restricted from acquiring directly or through a controlled entity more than 3% of our total outstanding voting stock (measured at the time of the acquisition). Investment companies registered under the 1940 Act and BDCs are also subject to this restriction as well as other limitations under the 1940 Act that would restrict the amount that they are able to invest in our securities. Additionally, until such time as the shares of our common stock are considered “publicly-offered securities” within the meaning of Section 3(42) of ERISA and certain DOL regulations (together, the “Plan Asset Provisions”), we intend to operate so that less than 25% of the value of any class of equity interest in the Company is held by “Benefit Plan Investors” (within the meaning of the Plan Asset Provisions), so that their investment will not be “significant” and the assets of the Company will not include “plan assets” under the Plan Asset Provisions (the “25% Test”). In order to meet the requirements of the 25% Test, we may prohibit certain investments or transfers of investments so as to avoid the Company holding “plan assets” within the meaning of ERISA. As a result, certain investors will be limited in their ability to make significant investments in us at a time that they might desire to do so.</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Stockholders may be subject to filing requirements under the Exchange Act as a result of an investment in us.</w:t>
      </w:r>
    </w:p>
    <w:p>
      <w:pPr>
        <w:spacing w:after="0" w:line="192" w:lineRule="exact"/>
        <w:rPr>
          <w:sz w:val="20"/>
          <w:szCs w:val="20"/>
          <w:color w:val="auto"/>
        </w:rPr>
      </w:pPr>
    </w:p>
    <w:p>
      <w:pPr>
        <w:jc w:val="both"/>
        <w:ind w:left="1260" w:right="679" w:firstLine="360"/>
        <w:spacing w:after="0" w:line="253" w:lineRule="auto"/>
        <w:rPr>
          <w:sz w:val="20"/>
          <w:szCs w:val="20"/>
          <w:color w:val="auto"/>
        </w:rPr>
      </w:pPr>
      <w:r>
        <w:rPr>
          <w:rFonts w:ascii="Arial" w:cs="Arial" w:eastAsia="Arial" w:hAnsi="Arial"/>
          <w:sz w:val="17"/>
          <w:szCs w:val="17"/>
          <w:color w:val="auto"/>
        </w:rPr>
        <w:t>Because our common stock is registered under the Exchange Act, ownership information for any person who beneficially owns 5% or more of our common stock must be disclosed in a Schedule 13D or other filings with the SEC. Beneficial ownership for these purposes is determined in accordance with the rules of the SEC, and includes having voting or investment power over the securities. In some circumstances, investors who choose to reinvest their dividends may see their percentage stake in us increased to more than 5%, thus triggering this filing requirement. Although we provide in our quarterly financial statements the amount of outstanding stock and the amount of the investor’s stock, the responsibility for determining the filing obligation and preparing the filing remains with the investor. In addition, owners of 10% or more of our common stock are subject to reporting obligations under Section 16(a) of the Exchange Act.</w:t>
      </w:r>
    </w:p>
    <w:p>
      <w:pPr>
        <w:spacing w:after="0" w:line="184"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i w:val="1"/>
          <w:iCs w:val="1"/>
          <w:color w:val="auto"/>
        </w:rPr>
        <w:t>Stockholders may be subject to the short-swing profits rules under the Exchange Act as a result of an investment in us.</w:t>
      </w:r>
    </w:p>
    <w:p>
      <w:pPr>
        <w:spacing w:after="0" w:line="103" w:lineRule="exact"/>
        <w:rPr>
          <w:sz w:val="20"/>
          <w:szCs w:val="20"/>
          <w:color w:val="auto"/>
        </w:rPr>
      </w:pPr>
    </w:p>
    <w:p>
      <w:pPr>
        <w:jc w:val="both"/>
        <w:ind w:left="1260" w:right="679" w:firstLine="360"/>
        <w:spacing w:after="0" w:line="248" w:lineRule="auto"/>
        <w:rPr>
          <w:sz w:val="20"/>
          <w:szCs w:val="20"/>
          <w:color w:val="auto"/>
        </w:rPr>
      </w:pPr>
      <w:r>
        <w:rPr>
          <w:rFonts w:ascii="Arial" w:cs="Arial" w:eastAsia="Arial" w:hAnsi="Arial"/>
          <w:sz w:val="18"/>
          <w:szCs w:val="18"/>
          <w:color w:val="auto"/>
        </w:rPr>
        <w:t>Persons with the right to appoint a director or who hold more than 10% of a class of our shares may be subject to Section 16(b) of the Exchange Act, which recaptures for the benefit of the issuer profits from the purchase and sale of registered stock within a six-month period.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Investors in our private offerings are subject to transfer restrictions.</w:t>
      </w:r>
    </w:p>
    <w:p>
      <w:pPr>
        <w:spacing w:after="0" w:line="144" w:lineRule="exact"/>
        <w:rPr>
          <w:sz w:val="20"/>
          <w:szCs w:val="20"/>
          <w:color w:val="auto"/>
        </w:rPr>
      </w:pPr>
    </w:p>
    <w:p>
      <w:pPr>
        <w:jc w:val="both"/>
        <w:ind w:left="1260" w:right="679" w:firstLine="360"/>
        <w:spacing w:after="0" w:line="243" w:lineRule="auto"/>
        <w:rPr>
          <w:sz w:val="20"/>
          <w:szCs w:val="20"/>
          <w:color w:val="auto"/>
        </w:rPr>
      </w:pPr>
      <w:r>
        <w:rPr>
          <w:rFonts w:ascii="Arial" w:cs="Arial" w:eastAsia="Arial" w:hAnsi="Arial"/>
          <w:sz w:val="18"/>
          <w:szCs w:val="18"/>
          <w:color w:val="auto"/>
        </w:rPr>
        <w:t>Other than in connection with a Spin-Off transaction, investors who participated in the our private offerings may not sell, assign, transfer or otherwise dispose of (in each case, a “Transfer”) any common stock unless (i) we give consent and (ii) the Transfer is made in accordance with applicable securities laws. No Transfer will be effectuated except by registration of the Transfer on our books.</w:t>
      </w:r>
    </w:p>
    <w:p>
      <w:pPr>
        <w:spacing w:after="0" w:line="188"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i w:val="1"/>
          <w:iCs w:val="1"/>
          <w:color w:val="auto"/>
        </w:rPr>
        <w:t>Provisions of the MGCL and of our charter and bylaws could deter takeover attempts and have an adverse impact on the price of our common stock.</w:t>
      </w:r>
    </w:p>
    <w:p>
      <w:pPr>
        <w:spacing w:after="0" w:line="103" w:lineRule="exact"/>
        <w:rPr>
          <w:sz w:val="20"/>
          <w:szCs w:val="20"/>
          <w:color w:val="auto"/>
        </w:rPr>
      </w:pPr>
    </w:p>
    <w:p>
      <w:pPr>
        <w:jc w:val="both"/>
        <w:ind w:left="1260" w:right="679" w:firstLine="360"/>
        <w:spacing w:after="0" w:line="269" w:lineRule="auto"/>
        <w:rPr>
          <w:sz w:val="20"/>
          <w:szCs w:val="20"/>
          <w:color w:val="auto"/>
        </w:rPr>
      </w:pPr>
      <w:r>
        <w:rPr>
          <w:rFonts w:ascii="Arial" w:cs="Arial" w:eastAsia="Arial" w:hAnsi="Arial"/>
          <w:sz w:val="16"/>
          <w:szCs w:val="16"/>
          <w:color w:val="auto"/>
        </w:rPr>
        <w:t>The MGCL and our charter and bylaws contain provisions that may discourage, delay or make more difficult a change in control of us or the removal of our directors. We are subject to the Maryland Business Combination Act, subject to any applicable requirements of the 1940 Act. Our Board of Directors has adopted a resolution exempting from the Business Combination Act any business combination between us and any other person, subject to prior approval of such business combination by our Board of Directors, including approval by a majority of our disinterested directors. If the resolution exempting business combinations is repealed or our Board of Directors does not approve a business combination, the Business Combination Act may discourage third parties from trying to acquire control of us and increase the difficulty of consummating such an offer. Our bylaws exempt from the Maryland Control Share Acquisition Act (the “Control Share Act”) acquisitions of our stock by any person. If we amend our bylaws to repeal the exemption from the Control Share Act, the Control Share Act also may make it more difficult for a third party to obtain control of us and increase the difficulty of consummating such a transaction. However, we will amend our bylaws to be</w:t>
      </w: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59"/>
        <w:spacing w:after="0" w:line="252" w:lineRule="auto"/>
        <w:rPr>
          <w:sz w:val="20"/>
          <w:szCs w:val="20"/>
          <w:color w:val="auto"/>
        </w:rPr>
      </w:pPr>
      <w:r>
        <w:rPr>
          <w:rFonts w:ascii="Arial" w:cs="Arial" w:eastAsia="Arial" w:hAnsi="Arial"/>
          <w:sz w:val="17"/>
          <w:szCs w:val="17"/>
          <w:color w:val="auto"/>
        </w:rPr>
        <w:t>subject to the Control Share Act only if our Board of Directors determines that it would be in our best interests and if the SEC staff does not object to our determination that our being subject to the Control Share Act does not conflict with the 1940 Act. The SEC staff has issued informal guidance setting forth its position that certain provisions of the Control Share Act would, if implemented, violate Section 18(i) of the 1940 Act. We have also adopted measures that may make it difficult for a third party to obtain control of us, including provisions of our charter classifying our Board of Directors in three classes serving staggered three-year terms, and authorizing our Board of Directors to classify or reclassify shares of our stock in one or more classes or series, to cause the issuance of additional shares of our stock, to amend our bylaws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86" w:lineRule="exact"/>
        <w:rPr>
          <w:sz w:val="20"/>
          <w:szCs w:val="20"/>
          <w:color w:val="auto"/>
        </w:rPr>
      </w:pPr>
    </w:p>
    <w:p>
      <w:pPr>
        <w:jc w:val="both"/>
        <w:ind w:left="1260" w:right="679"/>
        <w:spacing w:after="0" w:line="243" w:lineRule="auto"/>
        <w:rPr>
          <w:sz w:val="20"/>
          <w:szCs w:val="20"/>
          <w:color w:val="auto"/>
        </w:rPr>
      </w:pPr>
      <w:r>
        <w:rPr>
          <w:rFonts w:ascii="Arial" w:cs="Arial" w:eastAsia="Arial" w:hAnsi="Arial"/>
          <w:sz w:val="18"/>
          <w:szCs w:val="18"/>
          <w:b w:val="1"/>
          <w:bCs w:val="1"/>
          <w:i w:val="1"/>
          <w:iCs w:val="1"/>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spacing w:after="0" w:line="107" w:lineRule="exact"/>
        <w:rPr>
          <w:sz w:val="20"/>
          <w:szCs w:val="20"/>
          <w:color w:val="auto"/>
        </w:rPr>
      </w:pPr>
    </w:p>
    <w:p>
      <w:pPr>
        <w:jc w:val="both"/>
        <w:ind w:left="1260" w:right="679" w:firstLine="360"/>
        <w:spacing w:after="0" w:line="269" w:lineRule="auto"/>
        <w:rPr>
          <w:sz w:val="20"/>
          <w:szCs w:val="20"/>
          <w:color w:val="auto"/>
        </w:rPr>
      </w:pPr>
      <w:r>
        <w:rPr>
          <w:rFonts w:ascii="Arial" w:cs="Arial" w:eastAsia="Arial" w:hAnsi="Arial"/>
          <w:sz w:val="16"/>
          <w:szCs w:val="16"/>
          <w:color w:val="auto"/>
        </w:rPr>
        <w:t>We and our portfolio companies are subject to laws and regulations at the U.S. federal, state and local levels and, in some cases, foreign levels. These laws and regulations, as well as their interpretation, may change from time to time, and new laws, regulations and interpretations may also come into effect, potentially with retroactive effect. 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 In addition, there is significant uncertainty regarding recently enacted legislation (including the Dodd-Frank Wall Street Reform and Consumer Protection Act (the “Dodd-Frank Act”) and the regulations that have recently been adopted and future regulations that may or may not be adopted pursuant to such legislation) and, consequently, the full impact that such legislation will ultimately have on us and the markets in which we trade and invest is not fully known. Such uncertainty and any resulting confusion may itself be detrimental to the efficient functioning of the markets and the success of certain investment strategies.</w:t>
      </w:r>
    </w:p>
    <w:p>
      <w:pPr>
        <w:spacing w:after="0" w:line="104" w:lineRule="exact"/>
        <w:rPr>
          <w:sz w:val="20"/>
          <w:szCs w:val="20"/>
          <w:color w:val="auto"/>
        </w:rPr>
      </w:pPr>
    </w:p>
    <w:p>
      <w:pPr>
        <w:jc w:val="both"/>
        <w:ind w:left="1260" w:right="679" w:firstLine="360"/>
        <w:spacing w:after="0" w:line="239" w:lineRule="auto"/>
        <w:rPr>
          <w:sz w:val="20"/>
          <w:szCs w:val="20"/>
          <w:color w:val="auto"/>
        </w:rPr>
      </w:pPr>
      <w:r>
        <w:rPr>
          <w:rFonts w:ascii="Arial" w:cs="Arial" w:eastAsia="Arial" w:hAnsi="Arial"/>
          <w:sz w:val="18"/>
          <w:szCs w:val="18"/>
          <w:color w:val="auto"/>
        </w:rPr>
        <w:t>In addition, as private equity firms become more influential participants in the U.S. and global financial markets and economy generally, there recently has been pressure for greater governmental scrutiny and/or regulation of the private equity industry. It is uncertain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spacing w:after="0" w:line="123" w:lineRule="exact"/>
        <w:rPr>
          <w:sz w:val="20"/>
          <w:szCs w:val="20"/>
          <w:color w:val="auto"/>
        </w:rPr>
      </w:pPr>
    </w:p>
    <w:p>
      <w:pPr>
        <w:jc w:val="both"/>
        <w:ind w:left="1260" w:right="679" w:firstLine="360"/>
        <w:spacing w:after="0"/>
        <w:rPr>
          <w:sz w:val="20"/>
          <w:szCs w:val="20"/>
          <w:color w:val="auto"/>
        </w:rPr>
      </w:pPr>
      <w:r>
        <w:rPr>
          <w:rFonts w:ascii="Arial" w:cs="Arial" w:eastAsia="Arial" w:hAnsi="Arial"/>
          <w:sz w:val="18"/>
          <w:szCs w:val="18"/>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pacing w:after="0" w:line="108" w:lineRule="exact"/>
        <w:rPr>
          <w:sz w:val="20"/>
          <w:szCs w:val="20"/>
          <w:color w:val="auto"/>
        </w:rPr>
      </w:pPr>
    </w:p>
    <w:p>
      <w:pPr>
        <w:jc w:val="both"/>
        <w:ind w:left="1260" w:right="679" w:firstLine="360"/>
        <w:spacing w:after="0" w:line="239" w:lineRule="auto"/>
        <w:rPr>
          <w:sz w:val="20"/>
          <w:szCs w:val="20"/>
          <w:color w:val="auto"/>
        </w:rPr>
      </w:pPr>
      <w:r>
        <w:rPr>
          <w:rFonts w:ascii="Arial" w:cs="Arial" w:eastAsia="Arial" w:hAnsi="Arial"/>
          <w:sz w:val="18"/>
          <w:szCs w:val="18"/>
          <w:color w:val="auto"/>
        </w:rPr>
        <w:t>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RGC’s investment team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191"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i w:val="1"/>
          <w:iCs w:val="1"/>
          <w:color w:val="auto"/>
        </w:rPr>
        <w:t>We cannot predict how tax reform legislation will affect us, our investments, or our stockholders, and any such legislation could adversely affect our business.</w:t>
      </w:r>
    </w:p>
    <w:p>
      <w:pPr>
        <w:spacing w:after="0" w:line="103" w:lineRule="exact"/>
        <w:rPr>
          <w:sz w:val="20"/>
          <w:szCs w:val="20"/>
          <w:color w:val="auto"/>
        </w:rPr>
      </w:pPr>
    </w:p>
    <w:p>
      <w:pPr>
        <w:jc w:val="both"/>
        <w:ind w:left="1260" w:right="679" w:firstLine="360"/>
        <w:spacing w:after="0" w:line="324" w:lineRule="auto"/>
        <w:rPr>
          <w:sz w:val="20"/>
          <w:szCs w:val="20"/>
          <w:color w:val="auto"/>
        </w:rPr>
      </w:pPr>
      <w:r>
        <w:rPr>
          <w:rFonts w:ascii="Arial" w:cs="Arial" w:eastAsia="Arial" w:hAnsi="Arial"/>
          <w:sz w:val="16"/>
          <w:szCs w:val="16"/>
          <w:color w:val="auto"/>
        </w:rPr>
        <w:t>Legislative or other actions relating to taxes could have a negative effect on us. The rules dealing with U.S. federal income taxation are constantly under review by persons involved in the legislative process and by the</w:t>
      </w:r>
    </w:p>
    <w:p>
      <w:pPr>
        <w:spacing w:after="0" w:line="30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86" w:lineRule="auto"/>
        <w:rPr>
          <w:sz w:val="20"/>
          <w:szCs w:val="20"/>
          <w:color w:val="auto"/>
        </w:rPr>
      </w:pPr>
      <w:r>
        <w:rPr>
          <w:rFonts w:ascii="Arial" w:cs="Arial" w:eastAsia="Arial" w:hAnsi="Arial"/>
          <w:sz w:val="16"/>
          <w:szCs w:val="16"/>
          <w:color w:val="auto"/>
        </w:rPr>
        <w:t>Internal Revenue Service (“IRS”) and the U.S. Treasury Department. The U.S. House of Representatives and U.S. Senate passed tax reform legislation (the “TCJA”) in December of 2017, which the President signed into law shortly thereafter. Such legislation made many changes to the Internal Revenue Code, including significant changes to the taxation of business entities, the deductibility of interest expense, and the tax treatment of capital investment. We cannot predict with certainty how these or any other changes in the tax laws might affect us, our stockholders, or our portfolio investments. Such legislation could significantly and negatively affect our ability to qualify as a RIC and have adverse U.S. federal income tax consequences to us and our stockholders. Additionally, the U.S. Treasury and IRS have issued and may issue additional regulations and administrative interpretations of the TCJA, and any such regulations, interpretations, any court decisions interpreting the TCJA or the regulations or administrative interpretations thereunder, or any other changes in the tax laws could similarly, significantly and negatively affect our ability to qualify for tax treatment as a RIC or the U.S. federal income tax consequences to us and our stockholders of such qualification, or could have other adverse consequences. Stockholders are urged to consult with their tax advisor regarding tax legislative, regulatory, or administrative developments and proposals and their potential effect on an investment in our securities.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Investments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44" w:lineRule="exact"/>
        <w:rPr>
          <w:sz w:val="20"/>
          <w:szCs w:val="20"/>
          <w:color w:val="auto"/>
        </w:rPr>
      </w:pPr>
    </w:p>
    <w:p>
      <w:pPr>
        <w:jc w:val="both"/>
        <w:ind w:left="1260" w:right="679" w:firstLine="360"/>
        <w:spacing w:after="0" w:line="255" w:lineRule="auto"/>
        <w:rPr>
          <w:sz w:val="20"/>
          <w:szCs w:val="20"/>
          <w:color w:val="auto"/>
        </w:rPr>
      </w:pPr>
      <w:r>
        <w:rPr>
          <w:rFonts w:ascii="Arial" w:cs="Arial" w:eastAsia="Arial" w:hAnsi="Arial"/>
          <w:sz w:val="18"/>
          <w:szCs w:val="18"/>
          <w:color w:val="auto"/>
        </w:rPr>
        <w:t>We intend to invest primarily in secured loans and select equity investments issued by fast-growing companies. We intend to invest primarily in secured loans made to companies whose debt has generally not been rated by any rating agency, although we would expect such debt, if rated, to fall below investment grade. Securities rated below investment grade are often referred to as “high yield” securities and “junk bonds,” and are considered “high risk” and speculative in nature compared to debt instruments that are rated above investment grade.</w:t>
      </w:r>
    </w:p>
    <w:p>
      <w:pPr>
        <w:spacing w:after="0" w:line="125"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7"/>
          <w:szCs w:val="17"/>
          <w:i w:val="1"/>
          <w:iCs w:val="1"/>
          <w:u w:val="single" w:color="auto"/>
          <w:color w:val="auto"/>
        </w:rPr>
        <w:t>Senior Secured Loans.</w:t>
      </w:r>
      <w:r>
        <w:rPr>
          <w:rFonts w:ascii="Arial" w:cs="Arial" w:eastAsia="Arial" w:hAnsi="Arial"/>
          <w:sz w:val="17"/>
          <w:szCs w:val="17"/>
          <w:i w:val="1"/>
          <w:iCs w:val="1"/>
          <w:color w:val="auto"/>
        </w:rPr>
        <w:t xml:space="preserve"> </w:t>
      </w:r>
      <w:r>
        <w:rPr>
          <w:rFonts w:ascii="Arial" w:cs="Arial" w:eastAsia="Arial" w:hAnsi="Arial"/>
          <w:sz w:val="17"/>
          <w:szCs w:val="17"/>
          <w:color w:val="auto"/>
        </w:rPr>
        <w:t>There is a risk that the collateral securing our loans may decrease in value over time,</w:t>
      </w:r>
      <w:r>
        <w:rPr>
          <w:rFonts w:ascii="Arial" w:cs="Arial" w:eastAsia="Arial" w:hAnsi="Arial"/>
          <w:sz w:val="17"/>
          <w:szCs w:val="17"/>
          <w:i w:val="1"/>
          <w:iCs w:val="1"/>
          <w:color w:val="auto"/>
        </w:rPr>
        <w:t xml:space="preserve"> </w:t>
      </w:r>
      <w:r>
        <w:rPr>
          <w:rFonts w:ascii="Arial" w:cs="Arial" w:eastAsia="Arial" w:hAnsi="Arial"/>
          <w:sz w:val="17"/>
          <w:szCs w:val="17"/>
          <w:color w:val="auto"/>
        </w:rPr>
        <w:t>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liens on the collateral securing our loans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compelled to enforce our remedies.</w:t>
      </w:r>
    </w:p>
    <w:p>
      <w:pPr>
        <w:spacing w:after="0" w:line="113"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8"/>
          <w:szCs w:val="18"/>
          <w:i w:val="1"/>
          <w:iCs w:val="1"/>
          <w:u w:val="single" w:color="auto"/>
          <w:color w:val="auto"/>
        </w:rPr>
        <w:t>Second Lien Secured Loans.</w:t>
      </w:r>
      <w:r>
        <w:rPr>
          <w:rFonts w:ascii="Arial" w:cs="Arial" w:eastAsia="Arial" w:hAnsi="Arial"/>
          <w:sz w:val="18"/>
          <w:szCs w:val="18"/>
          <w:i w:val="1"/>
          <w:iCs w:val="1"/>
          <w:color w:val="auto"/>
        </w:rPr>
        <w:t xml:space="preserve"> </w:t>
      </w:r>
      <w:r>
        <w:rPr>
          <w:rFonts w:ascii="Arial" w:cs="Arial" w:eastAsia="Arial" w:hAnsi="Arial"/>
          <w:sz w:val="18"/>
          <w:szCs w:val="18"/>
          <w:color w:val="auto"/>
        </w:rPr>
        <w:t>In structuring our loans, we may subordinate our security interest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of a borrower to another lender, usually a bank. In these situations, all of the risks identified above in Senior Secured Loans would be true and additional risks inherent in holding a junior security position would also be present, including, but not limited to those outlined below in “Second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14" w:lineRule="exact"/>
        <w:rPr>
          <w:sz w:val="20"/>
          <w:szCs w:val="20"/>
          <w:color w:val="auto"/>
        </w:rPr>
      </w:pPr>
    </w:p>
    <w:p>
      <w:pPr>
        <w:jc w:val="both"/>
        <w:ind w:left="1260" w:right="679" w:firstLine="360"/>
        <w:spacing w:after="0" w:line="257" w:lineRule="auto"/>
        <w:rPr>
          <w:sz w:val="20"/>
          <w:szCs w:val="20"/>
          <w:color w:val="auto"/>
        </w:rPr>
      </w:pPr>
      <w:r>
        <w:rPr>
          <w:rFonts w:ascii="Arial" w:cs="Arial" w:eastAsia="Arial" w:hAnsi="Arial"/>
          <w:sz w:val="18"/>
          <w:szCs w:val="18"/>
          <w:i w:val="1"/>
          <w:iCs w:val="1"/>
          <w:u w:val="single" w:color="auto"/>
          <w:color w:val="auto"/>
        </w:rPr>
        <w:t>Equity Investments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When we invest in secured loans, we may acquire equity securities as well.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we may invest directly in the equity securities of portfolio companies. The equity interests we receive may not appreciate in value and may in fact decline in value. Accordingly, we may not be able to realize gains from our equity interests, and any gains that we do realize on the disposition of any equity interests may not be sufficient to offset any other losses we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In addition, investing in small, fast-growing, private companies involves a number of significant risks, including the following:</w:t>
      </w:r>
    </w:p>
    <w:p>
      <w:pPr>
        <w:spacing w:after="0" w:line="63" w:lineRule="exact"/>
        <w:rPr>
          <w:sz w:val="20"/>
          <w:szCs w:val="20"/>
          <w:color w:val="auto"/>
        </w:rPr>
      </w:pPr>
    </w:p>
    <w:p>
      <w:pPr>
        <w:jc w:val="both"/>
        <w:ind w:left="1800" w:right="679" w:hanging="178"/>
        <w:spacing w:after="0" w:line="259"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debt securities that we hold. This failure to meet obligations may be accompanied by a deterioration in the value of any collateral and a reduction in the likelihood of us realizing any guarantees we may have obtained in connection with our investment;</w:t>
      </w:r>
    </w:p>
    <w:p>
      <w:pPr>
        <w:spacing w:after="0" w:line="65" w:lineRule="exact"/>
        <w:rPr>
          <w:rFonts w:ascii="Arial" w:cs="Arial" w:eastAsia="Arial" w:hAnsi="Arial"/>
          <w:sz w:val="18"/>
          <w:szCs w:val="18"/>
          <w:color w:val="auto"/>
        </w:rPr>
      </w:pPr>
    </w:p>
    <w:p>
      <w:pPr>
        <w:jc w:val="both"/>
        <w:ind w:left="1800" w:right="679" w:hanging="178"/>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they typically have shorter operating histories, narrower product lines and smaller market shares than larger businesses, which tend to render them more vulnerable to competitors’ actions, market conditions, and general economic downturns;</w:t>
      </w:r>
    </w:p>
    <w:p>
      <w:pPr>
        <w:spacing w:after="0" w:line="75" w:lineRule="exact"/>
        <w:rPr>
          <w:rFonts w:ascii="Arial" w:cs="Arial" w:eastAsia="Arial" w:hAnsi="Arial"/>
          <w:sz w:val="18"/>
          <w:szCs w:val="18"/>
          <w:color w:val="auto"/>
        </w:rPr>
      </w:pPr>
    </w:p>
    <w:p>
      <w:pPr>
        <w:jc w:val="both"/>
        <w:ind w:left="1800" w:right="679" w:hanging="178"/>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5" w:lineRule="exact"/>
        <w:rPr>
          <w:rFonts w:ascii="Arial" w:cs="Arial" w:eastAsia="Arial" w:hAnsi="Arial"/>
          <w:sz w:val="18"/>
          <w:szCs w:val="18"/>
          <w:color w:val="auto"/>
        </w:rPr>
      </w:pPr>
    </w:p>
    <w:p>
      <w:pPr>
        <w:jc w:val="both"/>
        <w:ind w:left="1800" w:right="679" w:hanging="178"/>
        <w:spacing w:after="0" w:line="255"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RGC may, in the ordinary course of business, be named as defendants in litigation arising from our investments in the portfolio companies; and</w:t>
      </w:r>
    </w:p>
    <w:p>
      <w:pPr>
        <w:spacing w:after="0" w:line="84"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debt upon maturity.</w:t>
      </w:r>
    </w:p>
    <w:p>
      <w:pPr>
        <w:spacing w:after="0" w:line="170" w:lineRule="exact"/>
        <w:rPr>
          <w:sz w:val="20"/>
          <w:szCs w:val="20"/>
          <w:color w:val="auto"/>
        </w:rPr>
      </w:pPr>
    </w:p>
    <w:p>
      <w:pPr>
        <w:jc w:val="both"/>
        <w:ind w:left="1260" w:right="679"/>
        <w:spacing w:after="0" w:line="263" w:lineRule="auto"/>
        <w:rPr>
          <w:sz w:val="20"/>
          <w:szCs w:val="20"/>
          <w:color w:val="auto"/>
        </w:rPr>
      </w:pPr>
      <w:r>
        <w:rPr>
          <w:rFonts w:ascii="Arial" w:cs="Arial" w:eastAsia="Arial" w:hAnsi="Arial"/>
          <w:sz w:val="18"/>
          <w:szCs w:val="18"/>
          <w:b w:val="1"/>
          <w:bCs w:val="1"/>
          <w:i w:val="1"/>
          <w:iCs w:val="1"/>
          <w:color w:val="auto"/>
        </w:rPr>
        <w:t>Investing in small, fast-growing companies involves a high degree of risk, and our financial results may be affected adversely if one or more of our significant portfolio investments defaults on its loans or fails to perform as we expect.</w:t>
      </w:r>
    </w:p>
    <w:p>
      <w:pPr>
        <w:spacing w:after="0" w:line="116" w:lineRule="exact"/>
        <w:rPr>
          <w:sz w:val="20"/>
          <w:szCs w:val="20"/>
          <w:color w:val="auto"/>
        </w:rPr>
      </w:pPr>
    </w:p>
    <w:p>
      <w:pPr>
        <w:jc w:val="both"/>
        <w:ind w:left="1260" w:right="679" w:firstLine="360"/>
        <w:spacing w:after="0" w:line="285" w:lineRule="auto"/>
        <w:rPr>
          <w:sz w:val="20"/>
          <w:szCs w:val="20"/>
          <w:color w:val="auto"/>
        </w:rPr>
      </w:pPr>
      <w:r>
        <w:rPr>
          <w:rFonts w:ascii="Arial" w:cs="Arial" w:eastAsia="Arial" w:hAnsi="Arial"/>
          <w:sz w:val="16"/>
          <w:szCs w:val="16"/>
          <w:color w:val="auto"/>
        </w:rPr>
        <w:t>We expect that our portfolio will consist primarily of debt and equity investments in small privately-owned companies. Investing in these companies involves a number of significant risks. Typically, the debt in which we intend to invest will not be initially rated by any rating agency; however, we believe that if such investments were rated, they would be below investment grade. Securities rated below investment grade are often referred to as “high yield” securities and “junk bonds,” and are considered “high risk” and speculative in nature compared to debt instruments that are rated above investment grade. Compared to larger publicly owned companies, these companies may be in a weaker financial position and may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face intense competition from larger companies with greater financial, technical, and marketing resources and their success typically depends on the managerial talents and efforts of an individual or a small group of persons. Therefore, the loss of any of its key employees could affect a portfolio company’s ability to compete effectively and harm its financial condition. Further, some of these companies conduct business in regulated industries that are susceptible to regulatory changes.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 businesses. Deterioration in a borrower’s financial condition and prospects may be accompanied by deterioration in the value of the loan’s collateral.</w:t>
      </w:r>
    </w:p>
    <w:p>
      <w:pPr>
        <w:spacing w:after="0" w:line="104"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Some of these companies cannot obtain financing from public capital markets or from traditional credit sources, such as commercial banks. Accordingly, loans made to these types of companies pose a higher default risk than loans made to companies that have access to traditional credit sources.</w:t>
      </w:r>
    </w:p>
    <w:p>
      <w:pPr>
        <w:spacing w:after="0" w:line="184" w:lineRule="exact"/>
        <w:rPr>
          <w:sz w:val="20"/>
          <w:szCs w:val="20"/>
          <w:color w:val="auto"/>
        </w:rPr>
      </w:pPr>
    </w:p>
    <w:p>
      <w:pPr>
        <w:jc w:val="both"/>
        <w:ind w:left="1260" w:right="679"/>
        <w:spacing w:after="0" w:line="381" w:lineRule="auto"/>
        <w:rPr>
          <w:sz w:val="20"/>
          <w:szCs w:val="20"/>
          <w:color w:val="auto"/>
        </w:rPr>
      </w:pPr>
      <w:r>
        <w:rPr>
          <w:rFonts w:ascii="Arial" w:cs="Arial" w:eastAsia="Arial" w:hAnsi="Arial"/>
          <w:sz w:val="15"/>
          <w:szCs w:val="15"/>
          <w:b w:val="1"/>
          <w:bCs w:val="1"/>
          <w:i w:val="1"/>
          <w:iCs w:val="1"/>
          <w:color w:val="auto"/>
        </w:rPr>
        <w:t>An investment strategy focused primarily on privately held companies presents certain challenges, including the lack of available information about these companies and a greater vulnerability to economic downturns.</w:t>
      </w:r>
    </w:p>
    <w:p>
      <w:pPr>
        <w:spacing w:after="0" w:line="19" w:lineRule="exact"/>
        <w:rPr>
          <w:sz w:val="20"/>
          <w:szCs w:val="20"/>
          <w:color w:val="auto"/>
        </w:rPr>
      </w:pPr>
    </w:p>
    <w:p>
      <w:pPr>
        <w:jc w:val="both"/>
        <w:ind w:left="1260" w:right="679" w:firstLine="360"/>
        <w:spacing w:after="0" w:line="308" w:lineRule="auto"/>
        <w:rPr>
          <w:sz w:val="20"/>
          <w:szCs w:val="20"/>
          <w:color w:val="auto"/>
        </w:rPr>
      </w:pPr>
      <w:r>
        <w:rPr>
          <w:rFonts w:ascii="Arial" w:cs="Arial" w:eastAsia="Arial" w:hAnsi="Arial"/>
          <w:sz w:val="17"/>
          <w:szCs w:val="17"/>
          <w:color w:val="auto"/>
        </w:rPr>
        <w:t>We intend to invest primarily in privately held companies. Generally, little public information exists about these companies, and we are required to rely on the ability of RGC’s investment team to obtain adequate</w:t>
      </w:r>
    </w:p>
    <w:p>
      <w:pPr>
        <w:spacing w:after="0" w:line="33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75" w:lineRule="auto"/>
        <w:rPr>
          <w:sz w:val="20"/>
          <w:szCs w:val="20"/>
          <w:color w:val="auto"/>
        </w:rPr>
      </w:pPr>
      <w:r>
        <w:rPr>
          <w:rFonts w:ascii="Arial" w:cs="Arial" w:eastAsia="Arial" w:hAnsi="Arial"/>
          <w:sz w:val="17"/>
          <w:szCs w:val="17"/>
          <w:color w:val="auto"/>
        </w:rPr>
        <w:t>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adversely affect our investment returns as compared to companies investing primarily in the securities of public companies.</w:t>
      </w:r>
    </w:p>
    <w:p>
      <w:pPr>
        <w:spacing w:after="0" w:line="176" w:lineRule="exact"/>
        <w:rPr>
          <w:sz w:val="20"/>
          <w:szCs w:val="20"/>
          <w:color w:val="auto"/>
        </w:rPr>
      </w:pPr>
    </w:p>
    <w:p>
      <w:pPr>
        <w:jc w:val="both"/>
        <w:ind w:left="1260" w:right="679"/>
        <w:spacing w:after="0" w:line="277" w:lineRule="auto"/>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89" w:lineRule="exact"/>
        <w:rPr>
          <w:sz w:val="20"/>
          <w:szCs w:val="20"/>
          <w:color w:val="auto"/>
        </w:rPr>
      </w:pPr>
    </w:p>
    <w:p>
      <w:pPr>
        <w:jc w:val="both"/>
        <w:ind w:left="1260" w:right="679" w:firstLine="360"/>
        <w:spacing w:after="0" w:line="287" w:lineRule="auto"/>
        <w:rPr>
          <w:sz w:val="20"/>
          <w:szCs w:val="20"/>
          <w:color w:val="auto"/>
        </w:rPr>
      </w:pPr>
      <w:r>
        <w:rPr>
          <w:rFonts w:ascii="Arial" w:cs="Arial" w:eastAsia="Arial" w:hAnsi="Arial"/>
          <w:sz w:val="16"/>
          <w:szCs w:val="16"/>
          <w:color w:val="auto"/>
        </w:rPr>
        <w:t>We intend to invest primarily in senior secured loans issued by private companies. 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72" w:lineRule="exact"/>
        <w:rPr>
          <w:sz w:val="20"/>
          <w:szCs w:val="20"/>
          <w:color w:val="auto"/>
        </w:rPr>
      </w:pPr>
    </w:p>
    <w:p>
      <w:pPr>
        <w:jc w:val="both"/>
        <w:ind w:left="1260" w:right="679"/>
        <w:spacing w:after="0" w:line="277" w:lineRule="auto"/>
        <w:rPr>
          <w:sz w:val="20"/>
          <w:szCs w:val="20"/>
          <w:color w:val="auto"/>
        </w:rPr>
      </w:pPr>
      <w:r>
        <w:rPr>
          <w:rFonts w:ascii="Arial" w:cs="Arial" w:eastAsia="Arial" w:hAnsi="Arial"/>
          <w:sz w:val="18"/>
          <w:szCs w:val="18"/>
          <w:b w:val="1"/>
          <w:bCs w:val="1"/>
          <w:i w:val="1"/>
          <w:iCs w:val="1"/>
          <w:color w:val="auto"/>
        </w:rPr>
        <w:t>There may be circumstances in which our debt investments could be subordinated to claims of other creditors or we could be subject to lender liability claims.</w:t>
      </w:r>
    </w:p>
    <w:p>
      <w:pPr>
        <w:spacing w:after="0" w:line="103" w:lineRule="exact"/>
        <w:rPr>
          <w:sz w:val="20"/>
          <w:szCs w:val="20"/>
          <w:color w:val="auto"/>
        </w:rPr>
      </w:pPr>
    </w:p>
    <w:p>
      <w:pPr>
        <w:jc w:val="both"/>
        <w:ind w:left="1260" w:right="679" w:firstLine="360"/>
        <w:spacing w:after="0" w:line="287" w:lineRule="auto"/>
        <w:rPr>
          <w:sz w:val="20"/>
          <w:szCs w:val="20"/>
          <w:color w:val="auto"/>
        </w:rPr>
      </w:pPr>
      <w:r>
        <w:rPr>
          <w:rFonts w:ascii="Arial" w:cs="Arial" w:eastAsia="Arial" w:hAnsi="Arial"/>
          <w:sz w:val="16"/>
          <w:szCs w:val="16"/>
          <w:color w:val="auto"/>
        </w:rPr>
        <w:t>Even though we intend to typically structure most of our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 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w:t>
      </w:r>
    </w:p>
    <w:p>
      <w:pPr>
        <w:spacing w:after="0" w:line="172" w:lineRule="exact"/>
        <w:rPr>
          <w:sz w:val="20"/>
          <w:szCs w:val="20"/>
          <w:color w:val="auto"/>
        </w:rPr>
      </w:pPr>
    </w:p>
    <w:p>
      <w:pPr>
        <w:jc w:val="both"/>
        <w:ind w:left="1260" w:right="659"/>
        <w:spacing w:after="0" w:line="263" w:lineRule="auto"/>
        <w:rPr>
          <w:sz w:val="20"/>
          <w:szCs w:val="20"/>
          <w:color w:val="auto"/>
        </w:rPr>
      </w:pPr>
      <w:r>
        <w:rPr>
          <w:rFonts w:ascii="Arial" w:cs="Arial" w:eastAsia="Arial" w:hAnsi="Arial"/>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16"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6"/>
          <w:szCs w:val="16"/>
          <w:color w:val="auto"/>
        </w:rPr>
        <w:t>Certain loans that we make will be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will require us to enter into an intercreditor agreement prior to permitting the portfolio company to borrow from us. Typically the intercreditor agreements we will be requested to execute will expressly subordinate our debt instruments to those held by the senior lender and further provide that the senior lender will control: (1) the commencement of foreclosure or other proceedings to liquidate and collect on the collateral; (2) the nature, timing, and conduct of foreclosure or other collection proceedings; (3) the amendment of any collateral document; (4) the release of the security interests in respect of any collateral; and (5) the waiver of defaults under any security agreement. Because of the control we may cede to senior lenders under intercreditor agreements we may enter, we may be unable to realize the proceeds of any collateral securing some of our loans.</w:t>
      </w:r>
    </w:p>
    <w:p>
      <w:pPr>
        <w:spacing w:after="0" w:line="200" w:lineRule="exact"/>
        <w:rPr>
          <w:sz w:val="20"/>
          <w:szCs w:val="20"/>
          <w:color w:val="auto"/>
        </w:rPr>
      </w:pP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44" w:lineRule="exact"/>
        <w:rPr>
          <w:sz w:val="20"/>
          <w:szCs w:val="20"/>
          <w:color w:val="auto"/>
        </w:rPr>
      </w:pPr>
    </w:p>
    <w:p>
      <w:pPr>
        <w:jc w:val="both"/>
        <w:ind w:left="1260" w:right="679" w:firstLine="360"/>
        <w:spacing w:after="0" w:line="238" w:lineRule="auto"/>
        <w:rPr>
          <w:sz w:val="20"/>
          <w:szCs w:val="20"/>
          <w:color w:val="auto"/>
        </w:rPr>
      </w:pPr>
      <w:r>
        <w:rPr>
          <w:rFonts w:ascii="Arial" w:cs="Arial" w:eastAsia="Arial" w:hAnsi="Arial"/>
          <w:sz w:val="18"/>
          <w:szCs w:val="18"/>
          <w:color w:val="auto"/>
        </w:rPr>
        <w:t>We intend to typically invest in companies whose securities are not publicly traded, and whose securities will be subject to legal and other restrictions on resale or will otherwise be less liquid than publicly traded securities. There is no established trading market for the securities in which we intend to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Our investments are typically subject to contractual or legal restrictions on resale or are otherwise illiquid because there is no established trading market for such investments. The illiquidity of our investments may make it difficult for us to dispose of them at a favorable price, and we may suffer losses as a result.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have not yet identified all of the portfolio companies we will invest in.</w:t>
      </w:r>
    </w:p>
    <w:p>
      <w:pPr>
        <w:spacing w:after="0" w:line="158" w:lineRule="exact"/>
        <w:rPr>
          <w:sz w:val="20"/>
          <w:szCs w:val="20"/>
          <w:color w:val="auto"/>
        </w:rPr>
      </w:pPr>
    </w:p>
    <w:p>
      <w:pPr>
        <w:jc w:val="both"/>
        <w:ind w:left="1260" w:right="679" w:firstLine="360"/>
        <w:spacing w:after="0" w:line="294" w:lineRule="auto"/>
        <w:rPr>
          <w:sz w:val="20"/>
          <w:szCs w:val="20"/>
          <w:color w:val="auto"/>
        </w:rPr>
      </w:pPr>
      <w:r>
        <w:rPr>
          <w:rFonts w:ascii="Arial" w:cs="Arial" w:eastAsia="Arial" w:hAnsi="Arial"/>
          <w:sz w:val="16"/>
          <w:szCs w:val="16"/>
          <w:color w:val="auto"/>
        </w:rPr>
        <w:t>We have not yet identified all of the potential investments for our portfolio that we will acquire with the proceeds of the Second Private Offering. Our stockholders will generally have no input with respect to investment decisions. These factors increase the uncertainty, and thus the risk, of investing in our common stock.</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Our failure to make follow-on investments in our portfolio companies could impair the value of our portfolio.</w:t>
      </w:r>
    </w:p>
    <w:p>
      <w:pPr>
        <w:spacing w:after="0" w:line="192" w:lineRule="exact"/>
        <w:rPr>
          <w:sz w:val="20"/>
          <w:szCs w:val="20"/>
          <w:color w:val="auto"/>
        </w:rPr>
      </w:pPr>
    </w:p>
    <w:p>
      <w:pPr>
        <w:jc w:val="both"/>
        <w:ind w:left="1260" w:right="679" w:firstLine="360"/>
        <w:spacing w:after="0" w:line="252" w:lineRule="auto"/>
        <w:rPr>
          <w:sz w:val="20"/>
          <w:szCs w:val="20"/>
          <w:color w:val="auto"/>
        </w:rPr>
      </w:pPr>
      <w:r>
        <w:rPr>
          <w:rFonts w:ascii="Arial" w:cs="Arial" w:eastAsia="Arial" w:hAnsi="Arial"/>
          <w:sz w:val="17"/>
          <w:szCs w:val="17"/>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a subsequent financing; or (3) attempt to preserve or enhance the value of our investment. However, we may elect not to make follow-on investments or lack sufficient funds to make those investments. 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w:t>
      </w:r>
    </w:p>
    <w:p>
      <w:pPr>
        <w:spacing w:after="0" w:line="183" w:lineRule="exact"/>
        <w:rPr>
          <w:sz w:val="20"/>
          <w:szCs w:val="20"/>
          <w:color w:val="auto"/>
        </w:rPr>
      </w:pPr>
    </w:p>
    <w:p>
      <w:pPr>
        <w:jc w:val="both"/>
        <w:ind w:left="1260" w:right="679"/>
        <w:spacing w:after="0" w:line="324" w:lineRule="auto"/>
        <w:rPr>
          <w:sz w:val="20"/>
          <w:szCs w:val="20"/>
          <w:color w:val="auto"/>
        </w:rPr>
      </w:pPr>
      <w:r>
        <w:rPr>
          <w:rFonts w:ascii="Arial" w:cs="Arial" w:eastAsia="Arial" w:hAnsi="Arial"/>
          <w:sz w:val="16"/>
          <w:szCs w:val="16"/>
          <w:b w:val="1"/>
          <w:bCs w:val="1"/>
          <w:i w:val="1"/>
          <w:iCs w:val="1"/>
          <w:color w:val="auto"/>
        </w:rPr>
        <w:t>Our portfolio may lack diversification among portfolio companies, which subjects us to a risk of significant loss if one or more of these companies default on their obligations under any of their debt instruments.</w:t>
      </w:r>
    </w:p>
    <w:p>
      <w:pPr>
        <w:spacing w:after="0" w:line="43" w:lineRule="exact"/>
        <w:rPr>
          <w:sz w:val="20"/>
          <w:szCs w:val="20"/>
          <w:color w:val="auto"/>
        </w:rPr>
      </w:pPr>
    </w:p>
    <w:p>
      <w:pPr>
        <w:jc w:val="both"/>
        <w:ind w:left="1260" w:right="679" w:firstLine="360"/>
        <w:spacing w:after="0"/>
        <w:rPr>
          <w:sz w:val="20"/>
          <w:szCs w:val="20"/>
          <w:color w:val="auto"/>
        </w:rPr>
      </w:pPr>
      <w:r>
        <w:rPr>
          <w:rFonts w:ascii="Arial" w:cs="Arial" w:eastAsia="Arial" w:hAnsi="Arial"/>
          <w:sz w:val="18"/>
          <w:szCs w:val="18"/>
          <w:color w:val="auto"/>
        </w:rPr>
        <w:t>Our portfolio may hold a limited number of portfolio companies. Beyond the asset diversification requirements associated with our qualification as a RIC, we do not have fixed guidelines for diversification, and our investments may be concentrated in relatively few companies. As our portfolio is less diversified than the portfolios of some larger funds, we are more susceptible to failure if a single loan fails. Similarly, the aggregate returns we realize may be significantly adversely affected if a small number of investments perform poorly or if we need to write down the value of any one investment.</w:t>
      </w:r>
    </w:p>
    <w:p>
      <w:pPr>
        <w:spacing w:after="0" w:line="189"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b w:val="1"/>
          <w:bCs w:val="1"/>
          <w:i w:val="1"/>
          <w:iCs w:val="1"/>
          <w:color w:val="auto"/>
        </w:rPr>
        <w:t>Our portfolio may be concentrated in a limited number of industries, which will subject us to a risk of significant loss if there is a downturn in a particular industry in which a number of our investments are concentrated.</w:t>
      </w:r>
    </w:p>
    <w:p>
      <w:pPr>
        <w:spacing w:after="0" w:line="114" w:lineRule="exact"/>
        <w:rPr>
          <w:sz w:val="20"/>
          <w:szCs w:val="20"/>
          <w:color w:val="auto"/>
        </w:rPr>
      </w:pPr>
    </w:p>
    <w:p>
      <w:pPr>
        <w:jc w:val="both"/>
        <w:ind w:left="1260" w:right="679" w:firstLine="360"/>
        <w:spacing w:after="0" w:line="243" w:lineRule="auto"/>
        <w:rPr>
          <w:sz w:val="20"/>
          <w:szCs w:val="20"/>
          <w:color w:val="auto"/>
        </w:rPr>
      </w:pPr>
      <w:r>
        <w:rPr>
          <w:rFonts w:ascii="Arial" w:cs="Arial" w:eastAsia="Arial" w:hAnsi="Arial"/>
          <w:sz w:val="18"/>
          <w:szCs w:val="18"/>
          <w:color w:val="auto"/>
        </w:rPr>
        <w:t>Our portfolio may be concentrated in a limited number of industries. We invest primarily in companies focused in technology, life sciences, healthcare information and services, business services and other high growth industries. A downturn in any particular industry in which we are invested could significantly impact the aggregate returns we realize.</w:t>
      </w:r>
    </w:p>
    <w:p>
      <w:pPr>
        <w:spacing w:after="0" w:line="188"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i w:val="1"/>
          <w:iCs w:val="1"/>
          <w:color w:val="auto"/>
        </w:rPr>
        <w:t>Our portfolio may lack diversification among our Sponsored Growth Lending and Non-Sponsored Growth Lending strategies and among sponsors within the sponsored segment.</w:t>
      </w:r>
    </w:p>
    <w:p>
      <w:pPr>
        <w:spacing w:after="0" w:line="103" w:lineRule="exact"/>
        <w:rPr>
          <w:sz w:val="20"/>
          <w:szCs w:val="20"/>
          <w:color w:val="auto"/>
        </w:rPr>
      </w:pPr>
    </w:p>
    <w:p>
      <w:pPr>
        <w:jc w:val="both"/>
        <w:ind w:left="1260" w:right="679" w:firstLine="360"/>
        <w:spacing w:after="0" w:line="291" w:lineRule="auto"/>
        <w:rPr>
          <w:sz w:val="20"/>
          <w:szCs w:val="20"/>
          <w:color w:val="auto"/>
        </w:rPr>
      </w:pPr>
      <w:r>
        <w:rPr>
          <w:rFonts w:ascii="Arial" w:cs="Arial" w:eastAsia="Arial" w:hAnsi="Arial"/>
          <w:sz w:val="17"/>
          <w:szCs w:val="17"/>
          <w:color w:val="auto"/>
        </w:rPr>
        <w:t>Our objective is to build a balanced portfolio with diversification among sponsored and non-sponsored transactions and among sponsors within the Sponsored Growth Lending strategy, which we believe will</w:t>
      </w:r>
    </w:p>
    <w:p>
      <w:pPr>
        <w:spacing w:after="0" w:line="32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41" w:lineRule="auto"/>
        <w:rPr>
          <w:sz w:val="20"/>
          <w:szCs w:val="20"/>
          <w:color w:val="auto"/>
        </w:rPr>
      </w:pPr>
      <w:r>
        <w:rPr>
          <w:rFonts w:ascii="Arial" w:cs="Arial" w:eastAsia="Arial" w:hAnsi="Arial"/>
          <w:sz w:val="18"/>
          <w:szCs w:val="18"/>
          <w:color w:val="auto"/>
        </w:rPr>
        <w:t>contribute to a favorable risk adjusted return for the portfolio viewed as a whole. As we build our portfolio to scale, the effects of our sponsored and non-sponsored diversification strategy on yield and other metrics may not be fully evident, and the impact of various weightings may be more pronounced from period to period until we achieve greater scale in our portfolio. As a result, we may not achieve favorable risk adjusted returns for the portfolio viewed as a whole when diversification is lacking.</w:t>
      </w:r>
    </w:p>
    <w:p>
      <w:pPr>
        <w:spacing w:after="0" w:line="189"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i w:val="1"/>
          <w:iCs w:val="1"/>
          <w:color w:val="auto"/>
        </w:rPr>
        <w:t>We invest in sectors including technology, life sciences, healthcare information and services and other high-growth industries, which are subject to specific risks related to each.</w:t>
      </w:r>
    </w:p>
    <w:p>
      <w:pPr>
        <w:spacing w:after="0" w:line="90" w:lineRule="exact"/>
        <w:rPr>
          <w:sz w:val="20"/>
          <w:szCs w:val="20"/>
          <w:color w:val="auto"/>
        </w:rPr>
      </w:pPr>
    </w:p>
    <w:p>
      <w:pPr>
        <w:jc w:val="both"/>
        <w:ind w:left="1260" w:right="679" w:firstLine="360"/>
        <w:spacing w:after="0" w:line="253" w:lineRule="auto"/>
        <w:rPr>
          <w:sz w:val="20"/>
          <w:szCs w:val="20"/>
          <w:color w:val="auto"/>
        </w:rPr>
      </w:pPr>
      <w:r>
        <w:rPr>
          <w:rFonts w:ascii="Arial" w:cs="Arial" w:eastAsia="Arial" w:hAnsi="Arial"/>
          <w:sz w:val="17"/>
          <w:szCs w:val="17"/>
          <w:color w:val="auto"/>
        </w:rPr>
        <w:t>We intend to invest the largest portions of our portfolio in technology, life sciences, healthcare information and services and other high-growth industries. Our portfolio companies may address needs in technology-related industries and markets. We expect that our technology portfolio will consist of companies that commercialize and integrate products targeted at technology-related markets. There are risks in investing in companies that target technology-related markets, including rapid and sometimes dramatic price erosion of products, the reliance on capital and debt markets to finance large capital outlays, including fabrication facilities, the reliance on partners outside of the United States, particularly in Asia, and inherent cyclicality of the technology market in general. As a result of multiple factors, access to capital may be difficult or impossible for companies in our portfolio that are pursuing these markets.</w:t>
      </w:r>
    </w:p>
    <w:p>
      <w:pPr>
        <w:spacing w:after="0" w:line="116" w:lineRule="exact"/>
        <w:rPr>
          <w:sz w:val="20"/>
          <w:szCs w:val="20"/>
          <w:color w:val="auto"/>
        </w:rPr>
      </w:pPr>
    </w:p>
    <w:p>
      <w:pPr>
        <w:jc w:val="both"/>
        <w:ind w:left="1260" w:right="679" w:firstLine="360"/>
        <w:spacing w:after="0" w:line="238" w:lineRule="auto"/>
        <w:rPr>
          <w:sz w:val="20"/>
          <w:szCs w:val="20"/>
          <w:color w:val="auto"/>
        </w:rPr>
      </w:pPr>
      <w:r>
        <w:rPr>
          <w:rFonts w:ascii="Arial" w:cs="Arial" w:eastAsia="Arial" w:hAnsi="Arial"/>
          <w:sz w:val="18"/>
          <w:szCs w:val="18"/>
          <w:color w:val="auto"/>
        </w:rPr>
        <w:t>We also intend to invest in life-sciences-related companies. We anticipate that our life sciences portfolio will consist primarily of companies that commercialize and integrate products in life sciences-related industries, including biotechnology, pharmaceuticals, diagnostics and medical devices. There are risks in investing in companies that target life sciences-related industries, including, but not limited to, the uncertainty of timing and results of clinical trials to demonstrate the safety and efficacy of products; failure to obtain any required regulatory approval of products; failure to develop manufacturing processes that meet regulatory standards; competition, in particular from companies that develop rival products; and the ability to protect proprietary technology. Adverse developments in any of these areas may adversely affect the value of our life sciences portfolio.</w:t>
      </w:r>
    </w:p>
    <w:p>
      <w:pPr>
        <w:spacing w:after="0" w:line="124" w:lineRule="exact"/>
        <w:rPr>
          <w:sz w:val="20"/>
          <w:szCs w:val="20"/>
          <w:color w:val="auto"/>
        </w:rPr>
      </w:pPr>
    </w:p>
    <w:p>
      <w:pPr>
        <w:jc w:val="both"/>
        <w:ind w:left="1260" w:right="679" w:firstLine="360"/>
        <w:spacing w:after="0" w:line="284" w:lineRule="auto"/>
        <w:rPr>
          <w:sz w:val="20"/>
          <w:szCs w:val="20"/>
          <w:color w:val="auto"/>
        </w:rPr>
      </w:pPr>
      <w:r>
        <w:rPr>
          <w:rFonts w:ascii="Arial" w:cs="Arial" w:eastAsia="Arial" w:hAnsi="Arial"/>
          <w:sz w:val="16"/>
          <w:szCs w:val="16"/>
          <w:color w:val="auto"/>
        </w:rPr>
        <w:t>This life sciences industry is dominated by large multinational corporations with substantial greater financial and technical resources than generally will be available to our portfolio companies. Such large corporations may be better able to adapt to the challenges presented by continuing rapid and major scientific, regulatory and technological changes as well as related changes in governmental and third-party reimbursement policies.</w:t>
      </w:r>
    </w:p>
    <w:p>
      <w:pPr>
        <w:spacing w:after="0" w:line="74" w:lineRule="exact"/>
        <w:rPr>
          <w:sz w:val="20"/>
          <w:szCs w:val="20"/>
          <w:color w:val="auto"/>
        </w:rPr>
      </w:pPr>
    </w:p>
    <w:p>
      <w:pPr>
        <w:jc w:val="both"/>
        <w:ind w:left="1260" w:right="679" w:firstLine="360"/>
        <w:spacing w:after="0" w:line="291" w:lineRule="auto"/>
        <w:rPr>
          <w:sz w:val="20"/>
          <w:szCs w:val="20"/>
          <w:color w:val="auto"/>
        </w:rPr>
      </w:pPr>
      <w:r>
        <w:rPr>
          <w:rFonts w:ascii="Arial" w:cs="Arial" w:eastAsia="Arial" w:hAnsi="Arial"/>
          <w:sz w:val="16"/>
          <w:szCs w:val="16"/>
          <w:color w:val="auto"/>
        </w:rPr>
        <w:t>Within the life sciences industry, the development of products generally is a costly and time-consuming process. Many highly promising products ultimately fail to prove to be safe and effective. There can be no assurance that the research or product development efforts of our portfolio companies or those of their collaborative partners will be successfully completed, that specific products can be manufactured in adequate quantities at an acceptable cost and with appropriate quality, or that such products can be successfully marketed or achieve customer acceptance. There can be no assurance that a product will be relevant and/or be competitive with products from other companies following the costly, time-consuming process of its development.</w:t>
      </w:r>
    </w:p>
    <w:p>
      <w:pPr>
        <w:spacing w:after="0" w:line="99"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The research, development, manufacturing, and marketing of products developed by some life sciences companies are subject to extensive regulation by numerous government authorities in the United States and other countries. There can be no assurance that products developed by the portfolio companies will ever be approved by such governmental authorities.</w:t>
      </w:r>
    </w:p>
    <w:p>
      <w:pPr>
        <w:spacing w:after="0" w:line="119" w:lineRule="exact"/>
        <w:rPr>
          <w:sz w:val="20"/>
          <w:szCs w:val="20"/>
          <w:color w:val="auto"/>
        </w:rPr>
      </w:pPr>
    </w:p>
    <w:p>
      <w:pPr>
        <w:jc w:val="both"/>
        <w:ind w:left="1260" w:right="679" w:firstLine="360"/>
        <w:spacing w:after="0" w:line="257" w:lineRule="auto"/>
        <w:rPr>
          <w:sz w:val="20"/>
          <w:szCs w:val="20"/>
          <w:color w:val="auto"/>
        </w:rPr>
      </w:pPr>
      <w:r>
        <w:rPr>
          <w:rFonts w:ascii="Arial" w:cs="Arial" w:eastAsia="Arial" w:hAnsi="Arial"/>
          <w:sz w:val="18"/>
          <w:szCs w:val="18"/>
          <w:color w:val="auto"/>
        </w:rPr>
        <w:t>Many life sciences portfolio companies will depend heavily upon intellectual property for their competitive position. There can be no assurance that the portfolio companies will be able to obtain patents for key inventions. Moreover, within the life sciences industry, patent challenges are frequent. Even if patents held by the portfolio companies are upheld, any challenges thereto may be costly and distracting to the portfolio companies’ management.</w:t>
      </w:r>
    </w:p>
    <w:p>
      <w:pPr>
        <w:spacing w:after="0" w:line="107"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7"/>
          <w:szCs w:val="17"/>
          <w:color w:val="auto"/>
        </w:rPr>
        <w:t>Some of the life sciences portfolio companies will be at least partially dependent for their success upon governmental and third-party reimbursement policies that are under constant review and are subject to change at any time. Any such change could adversely affect the viability of one or more portfolio companies.</w:t>
      </w:r>
    </w:p>
    <w:p>
      <w:pPr>
        <w:spacing w:after="0" w:line="3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86" w:lineRule="auto"/>
        <w:rPr>
          <w:sz w:val="20"/>
          <w:szCs w:val="20"/>
          <w:color w:val="auto"/>
        </w:rPr>
      </w:pPr>
      <w:r>
        <w:rPr>
          <w:rFonts w:ascii="Arial" w:cs="Arial" w:eastAsia="Arial" w:hAnsi="Arial"/>
          <w:sz w:val="17"/>
          <w:szCs w:val="17"/>
          <w:b w:val="1"/>
          <w:bCs w:val="1"/>
          <w:i w:val="1"/>
          <w:iCs w:val="1"/>
          <w:color w:val="auto"/>
        </w:rPr>
        <w:t>Technology-related sectors, including those involving data processing and outsourced services, in which we invest are subject to many risks, including volatility, intense competition, decreasing life cycles, product obsolescence, changing consumer preferences and periodic downturns.</w:t>
      </w:r>
    </w:p>
    <w:p>
      <w:pPr>
        <w:spacing w:after="0" w:line="84"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7"/>
          <w:szCs w:val="17"/>
          <w:color w:val="auto"/>
        </w:rPr>
        <w:t>Given the experience of RGC’s senior investment professionals within the technology space, a number of the companies in which we intend to invest operate in technology-related sectors. The revenue, income (or losses) and valuations of technology-related companies can and often do fluctuate suddenly and dramatically. In addition, because of rapid technological change, the average selling prices of products and some services provided by technology-related sectors have historically decreased over their productive lives. As a result, the average selling prices of products and services offered by our portfolio companies that operated in technology-related sectors may decrease over time, which could adversely affect their operating results and, correspondingly, the value of any securities that we may hold. This could, in turn, materially adversely affect our business, financial condition and results of operations.</w:t>
      </w:r>
    </w:p>
    <w:p>
      <w:pPr>
        <w:spacing w:after="0" w:line="181" w:lineRule="exact"/>
        <w:rPr>
          <w:sz w:val="20"/>
          <w:szCs w:val="20"/>
          <w:color w:val="auto"/>
        </w:rPr>
      </w:pPr>
    </w:p>
    <w:p>
      <w:pPr>
        <w:jc w:val="both"/>
        <w:ind w:left="1260" w:right="679"/>
        <w:spacing w:after="0" w:line="308" w:lineRule="auto"/>
        <w:rPr>
          <w:sz w:val="20"/>
          <w:szCs w:val="20"/>
          <w:color w:val="auto"/>
        </w:rPr>
      </w:pPr>
      <w:r>
        <w:rPr>
          <w:rFonts w:ascii="Arial" w:cs="Arial" w:eastAsia="Arial" w:hAnsi="Arial"/>
          <w:sz w:val="17"/>
          <w:szCs w:val="17"/>
          <w:b w:val="1"/>
          <w:bCs w:val="1"/>
          <w:i w:val="1"/>
          <w:iCs w:val="1"/>
          <w:color w:val="auto"/>
        </w:rPr>
        <w:t>Any of our portfolio companies operating in the healthcare information and services industry are subject to extensive government regulation and certain other risks particular to that industry.</w:t>
      </w:r>
    </w:p>
    <w:p>
      <w:pPr>
        <w:spacing w:after="0" w:line="79"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7"/>
          <w:szCs w:val="17"/>
          <w:color w:val="auto"/>
        </w:rPr>
        <w:t>As part of our investment strategy, we plan to invest in companies in the healthcare information and services industry. Such portfolio companies provide technology to companies that are subject to extensive regulation, including Medicare and Medicaid payment rules and regulation, the False Claims Act and federal and state laws regarding the collection, use and disclosure of patient health information and the storage handling and administration of pharmaceuticals. If any of our portfolio companies or the companies to which they provide such technology fail to comply with applicable regulations, they could be subject to significant penalties and claims that could materially and adversely affect their operations. Portfolio companies in the healthcare information or services industry are also subject to the risk that changes in applicable regulations will render their technology obsolete or less desirable in the marketplace.</w:t>
      </w:r>
    </w:p>
    <w:p>
      <w:pPr>
        <w:spacing w:after="0" w:line="113" w:lineRule="exact"/>
        <w:rPr>
          <w:sz w:val="20"/>
          <w:szCs w:val="20"/>
          <w:color w:val="auto"/>
        </w:rPr>
      </w:pPr>
    </w:p>
    <w:p>
      <w:pPr>
        <w:jc w:val="both"/>
        <w:ind w:left="1260" w:right="679" w:firstLine="360"/>
        <w:spacing w:after="0" w:line="275" w:lineRule="auto"/>
        <w:rPr>
          <w:sz w:val="20"/>
          <w:szCs w:val="20"/>
          <w:color w:val="auto"/>
        </w:rPr>
      </w:pPr>
      <w:r>
        <w:rPr>
          <w:rFonts w:ascii="Arial" w:cs="Arial" w:eastAsia="Arial" w:hAnsi="Arial"/>
          <w:sz w:val="17"/>
          <w:szCs w:val="17"/>
          <w:color w:val="auto"/>
        </w:rPr>
        <w:t>Portfolio companies in the healthcare information and services industry may also have a limited number of suppliers of necessary components or a limited number of manufacturers for their products, and therefore face a risk of disruption to their manufacturing process if they are unable to find alternative suppliers when needed. Any of these factors could materially and adversely affect the operations of a portfolio company in this industry and, in turn, impair our ability to timely collect principal and interest payments owed to us.</w:t>
      </w:r>
    </w:p>
    <w:p>
      <w:pPr>
        <w:spacing w:after="0" w:line="176" w:lineRule="exact"/>
        <w:rPr>
          <w:sz w:val="20"/>
          <w:szCs w:val="20"/>
          <w:color w:val="auto"/>
        </w:rPr>
      </w:pPr>
    </w:p>
    <w:p>
      <w:pPr>
        <w:jc w:val="both"/>
        <w:ind w:left="1260" w:right="679"/>
        <w:spacing w:after="0" w:line="277" w:lineRule="auto"/>
        <w:rPr>
          <w:sz w:val="20"/>
          <w:szCs w:val="20"/>
          <w:color w:val="auto"/>
        </w:rPr>
      </w:pPr>
      <w:r>
        <w:rPr>
          <w:rFonts w:ascii="Arial" w:cs="Arial" w:eastAsia="Arial" w:hAnsi="Arial"/>
          <w:sz w:val="18"/>
          <w:szCs w:val="18"/>
          <w:b w:val="1"/>
          <w:bCs w:val="1"/>
          <w:i w:val="1"/>
          <w:iCs w:val="1"/>
          <w:color w:val="auto"/>
        </w:rPr>
        <w:t>The semiconductor industry is subject to many risks, including intense competition, volatility, and increasing costs and complexity of research and development.</w:t>
      </w:r>
    </w:p>
    <w:p>
      <w:pPr>
        <w:spacing w:after="0" w:line="89" w:lineRule="exact"/>
        <w:rPr>
          <w:sz w:val="20"/>
          <w:szCs w:val="20"/>
          <w:color w:val="auto"/>
        </w:rPr>
      </w:pPr>
    </w:p>
    <w:p>
      <w:pPr>
        <w:jc w:val="both"/>
        <w:ind w:left="1260" w:right="679" w:firstLine="360"/>
        <w:spacing w:after="0" w:line="289" w:lineRule="auto"/>
        <w:rPr>
          <w:sz w:val="20"/>
          <w:szCs w:val="20"/>
          <w:color w:val="auto"/>
        </w:rPr>
      </w:pPr>
      <w:r>
        <w:rPr>
          <w:rFonts w:ascii="Arial" w:cs="Arial" w:eastAsia="Arial" w:hAnsi="Arial"/>
          <w:sz w:val="16"/>
          <w:szCs w:val="16"/>
          <w:color w:val="auto"/>
        </w:rPr>
        <w:t>A number of the companies in which we invest operate in the semiconductor industry. The semiconductor industry is highly cyclical and is characterized by constant and rapid technological change, price erosion, evolving standards, short product life cycles and wide fluctuations in product supply and demand. Any future downturns may result in diminished product demand, production overcapacity, high inventory levels and accelerated erosion of average selling prices for our portfolio companies. Furthermore, any upturn in the semiconductor industry could result in increased competition for access to third-party foundry and assembly capacity for our portfolio companies. Our portfolio companies are dependent on the availability of this capacity to manufacture and assemble all of their products. These risks that our portfolio companies face could, in turn, materially adversely affect our business, financial condition and results of operations.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internet retail industry is subject to many risks and is highly competitive.</w:t>
      </w:r>
    </w:p>
    <w:p>
      <w:pPr>
        <w:spacing w:after="0" w:line="158" w:lineRule="exact"/>
        <w:rPr>
          <w:sz w:val="20"/>
          <w:szCs w:val="20"/>
          <w:color w:val="auto"/>
        </w:rPr>
      </w:pPr>
    </w:p>
    <w:p>
      <w:pPr>
        <w:jc w:val="both"/>
        <w:ind w:left="1260" w:right="679" w:firstLine="360"/>
        <w:spacing w:after="0" w:line="271" w:lineRule="auto"/>
        <w:rPr>
          <w:sz w:val="20"/>
          <w:szCs w:val="20"/>
          <w:color w:val="auto"/>
        </w:rPr>
      </w:pPr>
      <w:r>
        <w:rPr>
          <w:rFonts w:ascii="Arial" w:cs="Arial" w:eastAsia="Arial" w:hAnsi="Arial"/>
          <w:sz w:val="17"/>
          <w:szCs w:val="17"/>
          <w:color w:val="auto"/>
        </w:rPr>
        <w:t>A number of the companies in which we invest operate in the internet retail industry. The internet retail industry is highly competitive. This competition is increasingly intense as a number of internet-based retailers have started and failed in recent years. Competitors include larger companies than the portfolio companies in which we invest, which, in particular, may have access to greater resources, may be more successful in the recruitment and retention of qualified employees which may give them a competitive advantage. In addition, actual or potential competitors may be strengthened through the acquisition of additional assets and interests. If our portfolio companies are unable to compete effectively or adequately respond to competitive pressures, this inability may materially adversely affect our results of operation and financial condition.</w:t>
      </w:r>
    </w:p>
    <w:p>
      <w:pPr>
        <w:spacing w:after="0" w:line="3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The main industry sectors around which we intend to develop our investments are all capital intensive.</w:t>
      </w:r>
    </w:p>
    <w:p>
      <w:pPr>
        <w:spacing w:after="0" w:line="144" w:lineRule="exact"/>
        <w:rPr>
          <w:sz w:val="20"/>
          <w:szCs w:val="20"/>
          <w:color w:val="auto"/>
        </w:rPr>
      </w:pPr>
    </w:p>
    <w:p>
      <w:pPr>
        <w:jc w:val="both"/>
        <w:ind w:left="1260" w:right="679" w:firstLine="360"/>
        <w:spacing w:after="0" w:line="272" w:lineRule="auto"/>
        <w:rPr>
          <w:sz w:val="20"/>
          <w:szCs w:val="20"/>
          <w:color w:val="auto"/>
        </w:rPr>
      </w:pPr>
      <w:r>
        <w:rPr>
          <w:rFonts w:ascii="Arial" w:cs="Arial" w:eastAsia="Arial" w:hAnsi="Arial"/>
          <w:sz w:val="16"/>
          <w:szCs w:val="16"/>
          <w:color w:val="auto"/>
        </w:rPr>
        <w:t>The industry sectors in which we intend to make investments — technology, life sciences, health care information and services and business services — are each capital intensive. Currently, financing for capital-intensive companies remains difficult. In some successful companies, we believe we may need to invest more than we currently have planned to invest in these companies. There can be no assurance that we will have the capital necessary to make such investments. In addition, investing greater than planned amounts in our portfolio companies could limit our ability to pursue new investments and fund follow-on investments. Both of these situations could cause us to miss investment opportunities or limit our ability to protect existing investments from dilution or other actions or events that would decrease the value and potential return from these investments.</w:t>
      </w:r>
    </w:p>
    <w:p>
      <w:pPr>
        <w:spacing w:after="0" w:line="168" w:lineRule="exact"/>
        <w:rPr>
          <w:sz w:val="20"/>
          <w:szCs w:val="20"/>
          <w:color w:val="auto"/>
        </w:rPr>
      </w:pPr>
    </w:p>
    <w:p>
      <w:pPr>
        <w:jc w:val="both"/>
        <w:ind w:left="1260" w:right="679"/>
        <w:spacing w:after="0" w:line="270" w:lineRule="auto"/>
        <w:rPr>
          <w:sz w:val="20"/>
          <w:szCs w:val="20"/>
          <w:color w:val="auto"/>
        </w:rPr>
      </w:pPr>
      <w:r>
        <w:rPr>
          <w:rFonts w:ascii="Arial" w:cs="Arial" w:eastAsia="Arial" w:hAnsi="Arial"/>
          <w:sz w:val="17"/>
          <w:szCs w:val="17"/>
          <w:b w:val="1"/>
          <w:bCs w:val="1"/>
          <w:i w:val="1"/>
          <w:iCs w:val="1"/>
          <w:color w:val="auto"/>
        </w:rPr>
        <w:t>Because we generally do not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96" w:lineRule="exact"/>
        <w:rPr>
          <w:sz w:val="20"/>
          <w:szCs w:val="20"/>
          <w:color w:val="auto"/>
        </w:rPr>
      </w:pPr>
    </w:p>
    <w:p>
      <w:pPr>
        <w:jc w:val="both"/>
        <w:ind w:left="1260" w:right="679" w:firstLine="360"/>
        <w:spacing w:after="0" w:line="255" w:lineRule="auto"/>
        <w:rPr>
          <w:sz w:val="20"/>
          <w:szCs w:val="20"/>
          <w:color w:val="auto"/>
        </w:rPr>
      </w:pPr>
      <w:r>
        <w:rPr>
          <w:rFonts w:ascii="Arial" w:cs="Arial" w:eastAsia="Arial" w:hAnsi="Arial"/>
          <w:sz w:val="17"/>
          <w:szCs w:val="17"/>
          <w:color w:val="auto"/>
        </w:rPr>
        <w:t>Although we may do so in the future, we typically do not hold controlling equity positions in our portfolio companies. As a result, we are subject to the risk that a portfolio company or its equity sponsor may make business decisions with which we disagree, and that the management, equity sponsor and/or stockholders of a portfolio company may take risks or otherwise act in ways that are adverse to our interests. Due to the lack of liquidity of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Defaults by our portfolio companies will harm our operating results.</w:t>
      </w:r>
    </w:p>
    <w:p>
      <w:pPr>
        <w:spacing w:after="0" w:line="158" w:lineRule="exact"/>
        <w:rPr>
          <w:sz w:val="20"/>
          <w:szCs w:val="20"/>
          <w:color w:val="auto"/>
        </w:rPr>
      </w:pPr>
    </w:p>
    <w:p>
      <w:pPr>
        <w:jc w:val="both"/>
        <w:ind w:left="1260" w:right="679" w:firstLine="360"/>
        <w:spacing w:after="0" w:line="239"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a portfolio company’s ability to meet its obligations under the debt or equity securities that we hold. We may incur expenses to the extent necessary to seek recovery upon default or to negotiate new terms — which may include the waiver of certain financial covenants — with a defaulting portfolio company. These expenses could materially and adversely affect our operating results and cash flow.</w:t>
      </w:r>
    </w:p>
    <w:p>
      <w:pPr>
        <w:spacing w:after="0" w:line="191"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i w:val="1"/>
          <w:iCs w:val="1"/>
          <w:color w:val="auto"/>
        </w:rPr>
        <w:t>If our portfolio companies are unable to commercialize their technologies, products, business concepts or services, the returns on our investments could be adversely affected.</w:t>
      </w:r>
    </w:p>
    <w:p>
      <w:pPr>
        <w:spacing w:after="0" w:line="90" w:lineRule="exact"/>
        <w:rPr>
          <w:sz w:val="20"/>
          <w:szCs w:val="20"/>
          <w:color w:val="auto"/>
        </w:rPr>
      </w:pPr>
    </w:p>
    <w:p>
      <w:pPr>
        <w:jc w:val="both"/>
        <w:ind w:left="1260" w:right="679" w:firstLine="360"/>
        <w:spacing w:after="0" w:line="252" w:lineRule="auto"/>
        <w:rPr>
          <w:sz w:val="20"/>
          <w:szCs w:val="20"/>
          <w:color w:val="auto"/>
        </w:rPr>
      </w:pPr>
      <w:r>
        <w:rPr>
          <w:rFonts w:ascii="Arial" w:cs="Arial" w:eastAsia="Arial" w:hAnsi="Arial"/>
          <w:sz w:val="17"/>
          <w:szCs w:val="17"/>
          <w:color w:val="auto"/>
        </w:rPr>
        <w:t>The value of our investments in our portfolio companies may decline if they are not able to commercialize their technology, products, business concepts or services. Additionally, although some of our portfolio companies may already have a commercially successful product or product line at the time of our investment, information technology, e-commerce, life science, and energy technology-related products and services often have a more limited market or life span than products in other industries. Thus, the ultimate success of these companies often depends on their ability to continually innovate in increasingly competitive markets. If they are unable to do so, our investment returns could be adversely affected and their ability to service their debt obligations to us over the term of the loan could be impaired. Our portfolio companies may be unable to successfully acquire or develop any new products, and the intellectual property they currently hold may not remain viable. Even if our portfolio companies are able to develop commercially viable products, the market for new products and services is highly competitive and rapidly changing. Neither our portfolio companies nor we will have any control over the pace of technology development. Commercial success is difficult to predict, and the marketing efforts of our portfolio companies may not be successful.</w:t>
      </w:r>
    </w:p>
    <w:p>
      <w:pPr>
        <w:spacing w:after="0" w:line="180" w:lineRule="exact"/>
        <w:rPr>
          <w:sz w:val="20"/>
          <w:szCs w:val="20"/>
          <w:color w:val="auto"/>
        </w:rPr>
      </w:pPr>
    </w:p>
    <w:p>
      <w:pPr>
        <w:jc w:val="both"/>
        <w:ind w:left="1260" w:right="679"/>
        <w:spacing w:after="0" w:line="270" w:lineRule="auto"/>
        <w:rPr>
          <w:sz w:val="20"/>
          <w:szCs w:val="20"/>
          <w:color w:val="auto"/>
        </w:rPr>
      </w:pPr>
      <w:r>
        <w:rPr>
          <w:rFonts w:ascii="Arial" w:cs="Arial" w:eastAsia="Arial" w:hAnsi="Arial"/>
          <w:sz w:val="17"/>
          <w:szCs w:val="17"/>
          <w:b w:val="1"/>
          <w:bCs w:val="1"/>
          <w:i w:val="1"/>
          <w:iCs w:val="1"/>
          <w:color w:val="auto"/>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spacing w:after="0" w:line="96"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7"/>
          <w:szCs w:val="17"/>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w:t>
      </w:r>
    </w:p>
    <w:p>
      <w:pPr>
        <w:spacing w:after="0" w:line="3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52" w:lineRule="auto"/>
        <w:rPr>
          <w:sz w:val="20"/>
          <w:szCs w:val="20"/>
          <w:color w:val="auto"/>
        </w:rPr>
      </w:pPr>
      <w:r>
        <w:rPr>
          <w:rFonts w:ascii="Arial" w:cs="Arial" w:eastAsia="Arial" w:hAnsi="Arial"/>
          <w:sz w:val="17"/>
          <w:szCs w:val="17"/>
          <w:color w:val="auto"/>
        </w:rPr>
        <w:t>securing our investments and/or constitutes a significant portion of the portfolio companies’ value and may be available in a downside scenario to repay our loans. Our portfolio companies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 party’s patent or other proprietary rights, it could be required to pay damages to the third party, alter its products or processes, obtain a license from the third 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80"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i w:val="1"/>
          <w:iCs w:val="1"/>
          <w:color w:val="auto"/>
        </w:rPr>
        <w:t>Any unrealized losses we experience on our loan portfolio may be an indication of future realized losses, which could reduce our income available for distribution.</w:t>
      </w:r>
    </w:p>
    <w:p>
      <w:pPr>
        <w:spacing w:after="0" w:line="90" w:lineRule="exact"/>
        <w:rPr>
          <w:sz w:val="20"/>
          <w:szCs w:val="20"/>
          <w:color w:val="auto"/>
        </w:rPr>
      </w:pPr>
    </w:p>
    <w:p>
      <w:pPr>
        <w:jc w:val="both"/>
        <w:ind w:left="1260" w:right="679" w:firstLine="360"/>
        <w:spacing w:after="0"/>
        <w:rPr>
          <w:sz w:val="20"/>
          <w:szCs w:val="20"/>
          <w:color w:val="auto"/>
        </w:rPr>
      </w:pPr>
      <w:r>
        <w:rPr>
          <w:rFonts w:ascii="Arial" w:cs="Arial" w:eastAsia="Arial" w:hAnsi="Arial"/>
          <w:sz w:val="18"/>
          <w:szCs w:val="18"/>
          <w:color w:val="auto"/>
        </w:rPr>
        <w:t>As a BDC, we are required to carry our investments at market value or, if no market value is ascertainable, at the fair value as determined in good faith by our Board of Directors. Decreases in the market values or fair values of our investments will be recorded as unrealized depreciation. Any unrealized losses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spacing w:after="0" w:line="189"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i w:val="1"/>
          <w:iCs w:val="1"/>
          <w:color w:val="auto"/>
        </w:rPr>
        <w:t>Prepayments of our debt investments by our portfolio companies could adversely impact our results of operations and reduce our return on equity.</w:t>
      </w:r>
    </w:p>
    <w:p>
      <w:pPr>
        <w:spacing w:after="0" w:line="103" w:lineRule="exact"/>
        <w:rPr>
          <w:sz w:val="20"/>
          <w:szCs w:val="20"/>
          <w:color w:val="auto"/>
        </w:rPr>
      </w:pPr>
    </w:p>
    <w:p>
      <w:pPr>
        <w:jc w:val="both"/>
        <w:ind w:left="1260" w:right="679" w:firstLine="360"/>
        <w:spacing w:after="0" w:line="274" w:lineRule="auto"/>
        <w:rPr>
          <w:sz w:val="20"/>
          <w:szCs w:val="20"/>
          <w:color w:val="auto"/>
        </w:rPr>
      </w:pPr>
      <w:r>
        <w:rPr>
          <w:rFonts w:ascii="Arial" w:cs="Arial" w:eastAsia="Arial" w:hAnsi="Arial"/>
          <w:sz w:val="16"/>
          <w:szCs w:val="16"/>
          <w:color w:val="auto"/>
        </w:rPr>
        <w:t>We are subject to the risk that the investments we make in our portfolio companies may be repaid prior to maturity. When this occurs, we will generally reinvest these proceeds in temporary investments, pending future investment in new portfolio companies. These temporary investments will typically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 to prepay amounts owed to us. Additionally, prepayments could negatively impact our return on equity.</w:t>
      </w:r>
    </w:p>
    <w:p>
      <w:pPr>
        <w:spacing w:after="0" w:line="163" w:lineRule="exact"/>
        <w:rPr>
          <w:sz w:val="20"/>
          <w:szCs w:val="20"/>
          <w:color w:val="auto"/>
        </w:rPr>
      </w:pPr>
    </w:p>
    <w:p>
      <w:pPr>
        <w:jc w:val="both"/>
        <w:ind w:left="1260" w:right="679"/>
        <w:spacing w:after="0" w:line="277" w:lineRule="auto"/>
        <w:rPr>
          <w:sz w:val="20"/>
          <w:szCs w:val="20"/>
          <w:color w:val="auto"/>
        </w:rPr>
      </w:pPr>
      <w:r>
        <w:rPr>
          <w:rFonts w:ascii="Arial" w:cs="Arial" w:eastAsia="Arial" w:hAnsi="Arial"/>
          <w:sz w:val="18"/>
          <w:szCs w:val="18"/>
          <w:b w:val="1"/>
          <w:bCs w:val="1"/>
          <w:i w:val="1"/>
          <w:iCs w:val="1"/>
          <w:color w:val="auto"/>
        </w:rPr>
        <w:t>Our investments in leveraged portfolio companies may be risky, and you could lose all or part of your investment.</w:t>
      </w:r>
    </w:p>
    <w:p>
      <w:pPr>
        <w:spacing w:after="0" w:line="103" w:lineRule="exact"/>
        <w:rPr>
          <w:sz w:val="20"/>
          <w:szCs w:val="20"/>
          <w:color w:val="auto"/>
        </w:rPr>
      </w:pPr>
    </w:p>
    <w:p>
      <w:pPr>
        <w:jc w:val="both"/>
        <w:ind w:left="1260" w:right="679" w:firstLine="360"/>
        <w:spacing w:after="0" w:line="291" w:lineRule="auto"/>
        <w:rPr>
          <w:sz w:val="20"/>
          <w:szCs w:val="20"/>
          <w:color w:val="auto"/>
        </w:rPr>
      </w:pPr>
      <w:r>
        <w:rPr>
          <w:rFonts w:ascii="Arial" w:cs="Arial" w:eastAsia="Arial" w:hAnsi="Arial"/>
          <w:sz w:val="16"/>
          <w:szCs w:val="16"/>
          <w:color w:val="auto"/>
        </w:rPr>
        <w:t>Some of our portfolio companies may be highly leveraged, which may have adverse consequences to these companies and to us as an investor. These companies may be subject to restrictive financial and operating covenants and the leverage may impair these companies’ ability to finance their future operations and capital needs. As a result, these companies’ flexibility to respond to changing business and economic conditions and to take advantage of business opportunities may be limited. Further, a leveraged company’s income and net assets will tend to increase or decrease at a greater rate than if borrowed money were not used. Leveraged companies may enter into bankruptcy proceedings at higher rates than companies that are not leveraged.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not realize gains from our equity investments.</w:t>
      </w:r>
    </w:p>
    <w:p>
      <w:pPr>
        <w:spacing w:after="0" w:line="144" w:lineRule="exact"/>
        <w:rPr>
          <w:sz w:val="20"/>
          <w:szCs w:val="20"/>
          <w:color w:val="auto"/>
        </w:rPr>
      </w:pPr>
    </w:p>
    <w:p>
      <w:pPr>
        <w:jc w:val="both"/>
        <w:ind w:left="1260" w:right="679" w:firstLine="360"/>
        <w:spacing w:after="0" w:line="289" w:lineRule="auto"/>
        <w:rPr>
          <w:sz w:val="20"/>
          <w:szCs w:val="20"/>
          <w:color w:val="auto"/>
        </w:rPr>
      </w:pPr>
      <w:r>
        <w:rPr>
          <w:rFonts w:ascii="Arial" w:cs="Arial" w:eastAsia="Arial" w:hAnsi="Arial"/>
          <w:sz w:val="16"/>
          <w:szCs w:val="16"/>
          <w:color w:val="auto"/>
        </w:rPr>
        <w:t>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 In addition, we may from time to time make non-control,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w:t>
      </w:r>
    </w:p>
    <w:p>
      <w:pPr>
        <w:spacing w:after="0" w:line="3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59" w:lineRule="auto"/>
        <w:rPr>
          <w:sz w:val="20"/>
          <w:szCs w:val="20"/>
          <w:color w:val="auto"/>
        </w:rPr>
      </w:pPr>
      <w:r>
        <w:rPr>
          <w:rFonts w:ascii="Arial" w:cs="Arial" w:eastAsia="Arial" w:hAnsi="Arial"/>
          <w:sz w:val="18"/>
          <w:szCs w:val="18"/>
          <w:color w:val="auto"/>
        </w:rPr>
        <w:t>of the business, recapitalization or public offering, which would allow us to sell the underlying equity interests. We will sometimes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44"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utilize instruments such as forward contracts, credit default swaps,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63"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62" w:lineRule="exact"/>
        <w:rPr>
          <w:sz w:val="20"/>
          <w:szCs w:val="20"/>
          <w:color w:val="auto"/>
        </w:rPr>
      </w:pPr>
    </w:p>
    <w:p>
      <w:pPr>
        <w:jc w:val="both"/>
        <w:ind w:left="1260" w:right="679" w:firstLine="360"/>
        <w:spacing w:after="0" w:line="301" w:lineRule="auto"/>
        <w:rPr>
          <w:sz w:val="20"/>
          <w:szCs w:val="20"/>
          <w:color w:val="auto"/>
        </w:rPr>
      </w:pPr>
      <w:r>
        <w:rPr>
          <w:rFonts w:ascii="Arial" w:cs="Arial" w:eastAsia="Arial" w:hAnsi="Arial"/>
          <w:sz w:val="16"/>
          <w:szCs w:val="16"/>
          <w:color w:val="auto"/>
        </w:rPr>
        <w:t>Our corporate headquarters are located at 205 N. Michigan Ave., Suite 4200, Chicago, IL 60601 and are provided by the Administrator in accordance with the terms of the Administration Agreement. We and RGC also have offices located in Woodside, California and New York, New York. We do not own any real estate. We believe that our office facilities are suitable and adequate for our business as it is contemplated to be conducted.</w:t>
      </w:r>
    </w:p>
    <w:p>
      <w:pPr>
        <w:spacing w:after="0" w:line="153"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jc w:val="both"/>
        <w:ind w:left="1260" w:right="679" w:firstLine="360"/>
        <w:spacing w:after="0" w:line="293" w:lineRule="auto"/>
        <w:rPr>
          <w:sz w:val="20"/>
          <w:szCs w:val="20"/>
          <w:color w:val="auto"/>
        </w:rPr>
      </w:pPr>
      <w:r>
        <w:rPr>
          <w:rFonts w:ascii="Arial" w:cs="Arial" w:eastAsia="Arial" w:hAnsi="Arial"/>
          <w:sz w:val="16"/>
          <w:szCs w:val="16"/>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cannot be predicted with certainty, we do not expect that these proceedings will have a material effect upon our financial condition or results of operations.</w:t>
      </w:r>
    </w:p>
    <w:p>
      <w:pPr>
        <w:spacing w:after="0" w:line="160"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jc w:val="both"/>
        <w:ind w:left="1900" w:right="679" w:hanging="64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Market Information</w:t>
      </w:r>
    </w:p>
    <w:p>
      <w:pPr>
        <w:spacing w:after="0" w:line="162" w:lineRule="exact"/>
        <w:rPr>
          <w:sz w:val="20"/>
          <w:szCs w:val="20"/>
          <w:color w:val="auto"/>
        </w:rPr>
      </w:pPr>
    </w:p>
    <w:p>
      <w:pPr>
        <w:jc w:val="both"/>
        <w:ind w:left="1260" w:right="679" w:firstLine="360"/>
        <w:spacing w:after="0" w:line="262" w:lineRule="auto"/>
        <w:rPr>
          <w:sz w:val="20"/>
          <w:szCs w:val="20"/>
          <w:color w:val="auto"/>
        </w:rPr>
      </w:pPr>
      <w:r>
        <w:rPr>
          <w:rFonts w:ascii="Arial" w:cs="Arial" w:eastAsia="Arial" w:hAnsi="Arial"/>
          <w:sz w:val="17"/>
          <w:szCs w:val="17"/>
          <w:color w:val="auto"/>
        </w:rPr>
        <w:t>Until an IPO of shares of our common stock, our outstanding common stock will be offered and sold in transactions exempt from registration under the Securities Act under Section 4(a)(2) and Regulation D, as well as under Regulation S under the Securities Act. There is currently no established public trading market for our common stock currently, nor can we give any assurance that one will develop.</w:t>
      </w:r>
    </w:p>
    <w:p>
      <w:pPr>
        <w:spacing w:after="0" w:line="105"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6"/>
          <w:szCs w:val="16"/>
          <w:color w:val="auto"/>
        </w:rPr>
        <w:t>Because shares of our common stock are being acquired by investors in one or more transactions “not involving a public offering,” they are “restricted securities” and may be required to be held indefinitely. Our common shares may not be sold, transferred, assigned, pledged or otherwise disposed of unless (i) our consent is granted, and (ii) the common shares are registered under applicable securities laws or specifically exempted from registration (in which case the stockholder may, at our option, be required to provide us with a legal opinion, in form and substance satisfactory to us, that registration is not required). Accordingly, an investor must be willing to bear the economic risk of investment in our common shares until we are liquidated. No sale, transfer, assignment, pledge or other disposition, whether voluntary or involuntary, of the common shares may be made except by registration of the transfer on our books. Each transferee will be required to execute an instrument agreeing to be bound by these restrictions and the other restrictions imposed on our common shares and to execute such other instruments or certifications as are reasonably required by us.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Holders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March 19, 2020, there were 172 holders of record of our common stock.</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w:t>
      </w:r>
    </w:p>
    <w:p>
      <w:pPr>
        <w:spacing w:after="0" w:line="162" w:lineRule="exact"/>
        <w:rPr>
          <w:sz w:val="20"/>
          <w:szCs w:val="20"/>
          <w:color w:val="auto"/>
        </w:rPr>
      </w:pPr>
    </w:p>
    <w:p>
      <w:pPr>
        <w:jc w:val="both"/>
        <w:ind w:left="1260" w:right="679" w:firstLine="360"/>
        <w:spacing w:after="0" w:line="251" w:lineRule="auto"/>
        <w:rPr>
          <w:sz w:val="20"/>
          <w:szCs w:val="20"/>
          <w:color w:val="auto"/>
        </w:rPr>
      </w:pPr>
      <w:r>
        <w:rPr>
          <w:rFonts w:ascii="Arial" w:cs="Arial" w:eastAsia="Arial" w:hAnsi="Arial"/>
          <w:sz w:val="17"/>
          <w:szCs w:val="17"/>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subsequent to the Initial Closing. We will not be able to determine whether any specific distribution will be treated as made out of our taxable earnings or as a return of capital until after the end of our taxable year. The amount treated as a tax-free return of capital will reduce a stockholder’s adjusted basis in his or her common stock, thereby increasing his or her potential gain or reducing his or her potential loss on the subsequent sale or other disposition of his or her common stock. For the year ended December 31, 2019, the Company declared and paid dividends in the amount of $40,651,334 of which $8,192,547 was distributed in cash and the remainder distributed in shares to stockholders pursuant to the Company’s dividend reinvestment program. For the year ended December 31, 2018, the Company declared and paid dividends in the amount of $7,283,810 of which $1,428,498 was distributed in cash and the remainder distributed in shares to stockholders pursuant to the Company’s dividend reinvestment program. Total distributions for the years ended December 31, 2019 and December 31, 2018 represented distributions from income and not return of capital. On March 5, 2020, the Board of Directors declared a dividend in the amount of $0.40 per share payable on March 20, 2020 to stockholders of record as of March 6, 2020.</w:t>
      </w:r>
    </w:p>
    <w:p>
      <w:pPr>
        <w:spacing w:after="0" w:line="116" w:lineRule="exact"/>
        <w:rPr>
          <w:sz w:val="20"/>
          <w:szCs w:val="20"/>
          <w:color w:val="auto"/>
        </w:rPr>
      </w:pPr>
    </w:p>
    <w:p>
      <w:pPr>
        <w:jc w:val="both"/>
        <w:ind w:left="1260" w:right="679" w:firstLine="360"/>
        <w:spacing w:after="0" w:line="253" w:lineRule="auto"/>
        <w:rPr>
          <w:sz w:val="20"/>
          <w:szCs w:val="20"/>
          <w:color w:val="auto"/>
        </w:rPr>
      </w:pPr>
      <w:r>
        <w:rPr>
          <w:rFonts w:ascii="Arial" w:cs="Arial" w:eastAsia="Arial" w:hAnsi="Arial"/>
          <w:sz w:val="17"/>
          <w:szCs w:val="17"/>
          <w:color w:val="auto"/>
        </w:rPr>
        <w:t>We have elected to be treated, have qualified, and intend to continue to qualify annually, as a RIC under Subchapter M of the Code. While we intend to qualify to be treated as a RIC annually, we anticipate that we may have difficulty satisfying the asset diversification requirements as we deploy initial capital and build our investment portfolio. If we fail to qualify as a RIC for any taxable year, we will be subject to corporate-level U.S. federal income tax on any net taxable income for such year. See “Business — Material U.S. Federal Income Tax Considerations” in Part I, Item 1 of this Form 10-K and “Note 2 — Summary of Significant Accounting Policies” to our financial statements in Part II, Item 8 of this Form 10-K for more information. To maintain RIC tax treatment, we must distribute at least 90% of our net ordinary income and net realized short-term capital gains in excess of our net realized long-term capital losses, if any, to our stockholders. In order to avoid certain excise taxes imposed on RICs, we currently intend to distribute during each calendar</w:t>
      </w: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71" w:lineRule="auto"/>
        <w:rPr>
          <w:sz w:val="20"/>
          <w:szCs w:val="20"/>
          <w:color w:val="auto"/>
        </w:rPr>
      </w:pPr>
      <w:r>
        <w:rPr>
          <w:rFonts w:ascii="Arial" w:cs="Arial" w:eastAsia="Arial" w:hAnsi="Arial"/>
          <w:sz w:val="16"/>
          <w:szCs w:val="16"/>
          <w:color w:val="auto"/>
        </w:rPr>
        <w:t>year an amount at least equal to the sum of: (a) 98% of our ordinary income (not taking into account any capital gains or losses) for such calendar year; (b) 98.2% of the amount by which our capital gains exceed our capital losses (adjusted for certain ordinary losses) for a one-year period ending on October 31 of the calendar year; and</w:t>
      </w:r>
    </w:p>
    <w:p>
      <w:pPr>
        <w:ind w:left="1260" w:right="679" w:firstLine="2"/>
        <w:spacing w:after="0" w:line="243" w:lineRule="auto"/>
        <w:tabs>
          <w:tab w:leader="none" w:pos="15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net ordinary income and capital gainnet income that we recognized in previous years but was not distributed during such years and on which we paid no U.S. federal income tax.</w:t>
      </w:r>
    </w:p>
    <w:p>
      <w:pPr>
        <w:spacing w:after="0" w:line="105" w:lineRule="exact"/>
        <w:rPr>
          <w:sz w:val="20"/>
          <w:szCs w:val="20"/>
          <w:color w:val="auto"/>
        </w:rPr>
      </w:pPr>
    </w:p>
    <w:p>
      <w:pPr>
        <w:jc w:val="both"/>
        <w:ind w:left="1260" w:right="659" w:firstLine="360"/>
        <w:spacing w:after="0" w:line="251" w:lineRule="auto"/>
        <w:rPr>
          <w:sz w:val="20"/>
          <w:szCs w:val="20"/>
          <w:color w:val="auto"/>
        </w:rPr>
      </w:pPr>
      <w:r>
        <w:rPr>
          <w:rFonts w:ascii="Arial" w:cs="Arial" w:eastAsia="Arial" w:hAnsi="Arial"/>
          <w:sz w:val="17"/>
          <w:szCs w:val="17"/>
          <w:color w:val="auto"/>
        </w:rPr>
        <w:t>We currently intend to distribute net long-term capital gains if any, at least annually out of the assets legally available for such distributions. However, we may in the future decide to retain some or all of our long-term capital gains but designate the retained amount as a “deemed distribution.” In that case, among other consequences, we will pay tax on the retained amount, each U.S. stockholder will be required to include their share of the deemed distribution in income as if it had been distributed to the U.S. stockholder, and the U.S. stockholder will be entitled to claim a credit equal to their allocable share of the tax paid on the deemed distribution by us. The amount of the deemed distribution net of such tax will be added to such stockholder’s tax basis in such stockholder’s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such individual stockholder’s other U.S. federal income tax obligations or may be refunded to the extent it exceeds such individual stockholder’s liability for U.S. federal income tax. We cannot assure any stockholder that we will achieve results that will permit us to pay any cash distributions, and if we issue senior securities, we may be prohibited from making distributions if doing so would cause us to fail to maintain the asset coverage ratios stipulated by the 1940 Act or if such distributions are limited by the terms of any of our borrowings.</w:t>
      </w:r>
    </w:p>
    <w:p>
      <w:pPr>
        <w:spacing w:after="0" w:line="116" w:lineRule="exact"/>
        <w:rPr>
          <w:sz w:val="20"/>
          <w:szCs w:val="20"/>
          <w:color w:val="auto"/>
        </w:rPr>
      </w:pPr>
    </w:p>
    <w:p>
      <w:pPr>
        <w:jc w:val="both"/>
        <w:ind w:left="1260" w:right="679" w:firstLine="360"/>
        <w:spacing w:after="0" w:line="253" w:lineRule="auto"/>
        <w:rPr>
          <w:sz w:val="20"/>
          <w:szCs w:val="20"/>
          <w:color w:val="auto"/>
        </w:rPr>
      </w:pPr>
      <w:r>
        <w:rPr>
          <w:rFonts w:ascii="Arial" w:cs="Arial" w:eastAsia="Arial" w:hAnsi="Arial"/>
          <w:sz w:val="17"/>
          <w:szCs w:val="17"/>
          <w:color w:val="auto"/>
        </w:rPr>
        <w:t>Unless a stockholder elects to receive distributions in cash, we intend to make such distributions in additional shares of our common stock under our dividend reinvestment plan.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 If a stockholder holds shares of our common stock in the name of a broker or financial intermediary, such stockholder should contact such broker or financial intermediary regarding the election to receive distributions in cash in lieu of shares of our common stock. Any distributions reinvested through the issuance of shares of our common stock through our dividend reinvestment plan will increase our assets on which the incentive fee is determined and paid to RGC. See “— Dividend Reinvestment Plan” below.</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 Reinvestment Plan</w:t>
      </w:r>
    </w:p>
    <w:p>
      <w:pPr>
        <w:spacing w:after="0" w:line="162" w:lineRule="exact"/>
        <w:rPr>
          <w:sz w:val="20"/>
          <w:szCs w:val="20"/>
          <w:color w:val="auto"/>
        </w:rPr>
      </w:pPr>
    </w:p>
    <w:p>
      <w:pPr>
        <w:jc w:val="both"/>
        <w:ind w:left="1260" w:right="659" w:firstLine="360"/>
        <w:spacing w:after="0"/>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of adopting such a plan, if our Board of Directors authorizes, and we declare, a cash dividend or distribution, our stockholders who have not opted out of our dividend reinvestment plan will have their cash dividends or distributions automatically reinvested in additional shares of our common stock, rather than receiving cash.</w:t>
      </w:r>
    </w:p>
    <w:p>
      <w:pPr>
        <w:spacing w:after="0" w:line="108"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7"/>
          <w:szCs w:val="17"/>
          <w:color w:val="auto"/>
        </w:rPr>
        <w:t>No action will be required on the part of a registered stockholder to have his or her cash dividends and distributions reinvested in shares of our common stock. A registered stockholder could instead elect to receive a dividend or distribution in cash by notifying RGC in writing, so that such notice is received by RGC no later than 10 days prior to the record date for distributions to the stockholders. RGC will set up an account for shares of our common stock acquired through the plan for each stockholder who does not elect to receive dividends and distributions in cash and hold such shares in non-certificated form. Those stockholders whose shares are held by a broker or other financial intermediary could receive dividends and distributions in cash by notifying their broker or other financial intermediary of their election.</w:t>
      </w:r>
    </w:p>
    <w:p>
      <w:pPr>
        <w:spacing w:after="0" w:line="113"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7"/>
          <w:szCs w:val="17"/>
          <w:color w:val="auto"/>
        </w:rPr>
        <w:t>Stockholders who receive dividends and distributions in the form of stock are generally subject to the same U.S. federal, state and local tax consequences as are stockholders who elect to receive their dividends and distributions in cash. However, since a participating stockholder’s cash dividends and distributions will be reinvested in our common stock, such stockholder will not receive cash with which to pay applicable taxes on reinvested dividends and distributions. A stockholder’s basis for determining gain or loss upon the sale of</w:t>
      </w:r>
    </w:p>
    <w:p>
      <w:pPr>
        <w:spacing w:after="0" w:line="3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55" w:lineRule="auto"/>
        <w:rPr>
          <w:sz w:val="20"/>
          <w:szCs w:val="20"/>
          <w:color w:val="auto"/>
        </w:rPr>
      </w:pPr>
      <w:r>
        <w:rPr>
          <w:rFonts w:ascii="Arial" w:cs="Arial" w:eastAsia="Arial" w:hAnsi="Arial"/>
          <w:sz w:val="18"/>
          <w:szCs w:val="18"/>
          <w:color w:val="auto"/>
        </w:rPr>
        <w:t>stock received in a dividend or distribution from us will generally be equal to the cash that would have been received if the stockholder had received the dividend or distribution in cash, unless we were to issue new shares that are trading at or above net asset value, in which case, the stockholder’s basis in the new shares will generally be equal to their fair market value. Any stock received in a dividend or distribution will have a new holding period for tax purposes commencing on the day following the day on which the shares are credited to the U.S. stockholder’s account.</w:t>
      </w:r>
    </w:p>
    <w:p>
      <w:pPr>
        <w:spacing w:after="0" w:line="111"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The plan is terminable by us upon notice in writing mailed to each stockholder of record at least 30 days prior to any record date for the payment of any distribution by us. All correspondence concerning the plan should be directed to RGC by mail at Runway Growth Capital LLC, 205 N. Michigan Ave., Suite 4200, Chicago, IL 60601.</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Sales of Unregistered Securities and Use of Proceeds</w:t>
      </w:r>
    </w:p>
    <w:p>
      <w:pPr>
        <w:spacing w:after="0" w:line="162" w:lineRule="exact"/>
        <w:rPr>
          <w:sz w:val="20"/>
          <w:szCs w:val="20"/>
          <w:color w:val="auto"/>
        </w:rPr>
      </w:pPr>
    </w:p>
    <w:p>
      <w:pPr>
        <w:jc w:val="both"/>
        <w:ind w:left="1260" w:right="679" w:firstLine="360"/>
        <w:spacing w:after="0" w:line="308" w:lineRule="auto"/>
        <w:rPr>
          <w:sz w:val="20"/>
          <w:szCs w:val="20"/>
          <w:color w:val="auto"/>
        </w:rPr>
      </w:pPr>
      <w:r>
        <w:rPr>
          <w:rFonts w:ascii="Arial" w:cs="Arial" w:eastAsia="Arial" w:hAnsi="Arial"/>
          <w:sz w:val="17"/>
          <w:szCs w:val="17"/>
          <w:color w:val="auto"/>
        </w:rPr>
        <w:t>Except as previously reported by us on our current reports on Form 8-K, we did not sell any securities during the period covered by this Form 10-K that were not registered under the Securities Act.</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6.  Selected Financial Data</w:t>
      </w:r>
    </w:p>
    <w:p>
      <w:pPr>
        <w:spacing w:after="0" w:line="162" w:lineRule="exact"/>
        <w:rPr>
          <w:sz w:val="20"/>
          <w:szCs w:val="20"/>
          <w:color w:val="auto"/>
        </w:rPr>
      </w:pPr>
    </w:p>
    <w:p>
      <w:pPr>
        <w:jc w:val="both"/>
        <w:ind w:left="1260" w:right="679" w:firstLine="360"/>
        <w:spacing w:after="0" w:line="275" w:lineRule="auto"/>
        <w:rPr>
          <w:sz w:val="20"/>
          <w:szCs w:val="20"/>
          <w:color w:val="auto"/>
        </w:rPr>
      </w:pPr>
      <w:r>
        <w:rPr>
          <w:rFonts w:ascii="Arial" w:cs="Arial" w:eastAsia="Arial" w:hAnsi="Arial"/>
          <w:sz w:val="17"/>
          <w:szCs w:val="17"/>
          <w:color w:val="auto"/>
        </w:rPr>
        <w:t>The following selected financial and other data for the years ended December 31, 2019, 2018 and 2017, is derived from our audited financial statements. The selected financial information and other data presented below should be read in conjunction with the information contained in “Management’s Discussion and Analysis of Financial Condition and Results of Operations” in Part II, Item 7 of this Form 10-K and with the audited financial statements and the notes thereto included in Part II, Item 8 of this Form 10-K.</w:t>
      </w:r>
    </w:p>
    <w:p>
      <w:pPr>
        <w:spacing w:after="0" w:line="95"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Our historical results are not necessarily indicative of future results. The selected financial data in this section is not intended to replace the financial statements and is qualified in its entirety by the financial statements and related notes included in this filing.</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Year ended</w:t>
            </w: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Year ended</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Year ended</w:t>
            </w:r>
          </w:p>
        </w:tc>
      </w:tr>
      <w:tr>
        <w:trPr>
          <w:trHeight w:val="162"/>
        </w:trPr>
        <w:tc>
          <w:tcPr>
            <w:tcW w:w="506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December 31,</w:t>
            </w: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50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6"/>
                <w:szCs w:val="16"/>
                <w:color w:val="auto"/>
              </w:rPr>
            </w:pPr>
          </w:p>
        </w:tc>
      </w:tr>
      <w:tr>
        <w:trPr>
          <w:trHeight w:val="25"/>
        </w:trPr>
        <w:tc>
          <w:tcPr>
            <w:tcW w:w="50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3"/>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9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$55,139,136</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$20,756,054</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$ 3,189,839</w:t>
            </w:r>
          </w:p>
        </w:tc>
        <w:tc>
          <w:tcPr>
            <w:tcW w:w="60" w:type="dxa"/>
            <w:vAlign w:val="bottom"/>
          </w:tcPr>
          <w:p>
            <w:pPr>
              <w:spacing w:after="0"/>
              <w:rPr>
                <w:sz w:val="23"/>
                <w:szCs w:val="23"/>
                <w:color w:val="auto"/>
              </w:rPr>
            </w:pPr>
          </w:p>
        </w:tc>
      </w:tr>
      <w:tr>
        <w:trPr>
          <w:trHeight w:val="27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18,685,305</w:t>
            </w: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9,049,637</w:t>
            </w: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5,031,385</w:t>
            </w:r>
          </w:p>
        </w:tc>
        <w:tc>
          <w:tcPr>
            <w:tcW w:w="60" w:type="dxa"/>
            <w:vAlign w:val="bottom"/>
          </w:tcPr>
          <w:p>
            <w:pPr>
              <w:spacing w:after="0"/>
              <w:rPr>
                <w:sz w:val="23"/>
                <w:szCs w:val="23"/>
                <w:color w:val="auto"/>
              </w:rPr>
            </w:pPr>
          </w:p>
        </w:tc>
      </w:tr>
      <w:tr>
        <w:trPr>
          <w:trHeight w:val="283"/>
        </w:trPr>
        <w:tc>
          <w:tcPr>
            <w:tcW w:w="50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36,453,831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11,706,417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(1,841,546)</w:t>
            </w:r>
          </w:p>
        </w:tc>
      </w:tr>
      <w:tr>
        <w:trPr>
          <w:trHeight w:val="284"/>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609,031</w:t>
            </w: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59,792</w:t>
            </w: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56"/>
        </w:trPr>
        <w:tc>
          <w:tcPr>
            <w:tcW w:w="506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0"/>
        </w:trPr>
        <w:tc>
          <w:tcPr>
            <w:tcW w:w="50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(9,416,462)</w:t>
            </w:r>
          </w:p>
        </w:tc>
        <w:tc>
          <w:tcPr>
            <w:tcW w:w="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(8,693)</w:t>
            </w:r>
          </w:p>
        </w:tc>
        <w:tc>
          <w:tcPr>
            <w:tcW w:w="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405,251</w:t>
            </w:r>
          </w:p>
        </w:tc>
        <w:tc>
          <w:tcPr>
            <w:tcW w:w="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277"/>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Net Increase (Decrease) in Net Assets Resulting from Operations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$27,646,400</w:t>
            </w:r>
          </w:p>
        </w:tc>
        <w:tc>
          <w:tcPr>
            <w:tcW w:w="20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$11,757,516</w:t>
            </w:r>
          </w:p>
        </w:tc>
        <w:tc>
          <w:tcPr>
            <w:tcW w:w="2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$(1,436,295)</w:t>
            </w:r>
          </w:p>
        </w:tc>
        <w:tc>
          <w:tcPr>
            <w:tcW w:w="60" w:type="dxa"/>
            <w:vAlign w:val="bottom"/>
          </w:tcPr>
          <w:p>
            <w:pPr>
              <w:spacing w:after="0"/>
              <w:rPr>
                <w:sz w:val="24"/>
                <w:szCs w:val="24"/>
                <w:color w:val="auto"/>
              </w:rPr>
            </w:pPr>
          </w:p>
        </w:tc>
      </w:tr>
      <w:tr>
        <w:trPr>
          <w:trHeight w:val="284"/>
        </w:trPr>
        <w:tc>
          <w:tcPr>
            <w:tcW w:w="5060" w:type="dxa"/>
            <w:vAlign w:val="bottom"/>
          </w:tcPr>
          <w:p>
            <w:pPr>
              <w:spacing w:after="0"/>
              <w:rPr>
                <w:sz w:val="20"/>
                <w:szCs w:val="20"/>
                <w:color w:val="auto"/>
              </w:rPr>
            </w:pPr>
            <w:r>
              <w:rPr>
                <w:rFonts w:ascii="Arial" w:cs="Arial" w:eastAsia="Arial" w:hAnsi="Arial"/>
                <w:sz w:val="18"/>
                <w:szCs w:val="18"/>
                <w:color w:val="auto"/>
              </w:rPr>
              <w:t>Per Share Data:</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5060" w:type="dxa"/>
            <w:vAlign w:val="bottom"/>
            <w:shd w:val="clear" w:color="auto" w:fill="CCEEFF"/>
          </w:tcPr>
          <w:p>
            <w:pPr>
              <w:spacing w:after="0" w:line="297" w:lineRule="exact"/>
              <w:rPr>
                <w:sz w:val="20"/>
                <w:szCs w:val="20"/>
                <w:color w:val="auto"/>
              </w:rPr>
            </w:pPr>
            <w:r>
              <w:rPr>
                <w:rFonts w:ascii="Arial" w:cs="Arial" w:eastAsia="Arial" w:hAnsi="Arial"/>
                <w:sz w:val="18"/>
                <w:szCs w:val="18"/>
                <w:color w:val="auto"/>
              </w:rPr>
              <w:t>Net Investment Income (Loss)</w:t>
            </w:r>
            <w:r>
              <w:rPr>
                <w:rFonts w:ascii="Arial" w:cs="Arial" w:eastAsia="Arial" w:hAnsi="Arial"/>
                <w:sz w:val="26"/>
                <w:szCs w:val="26"/>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60" w:type="dxa"/>
            <w:vAlign w:val="bottom"/>
          </w:tcPr>
          <w:p>
            <w:pPr>
              <w:spacing w:after="0"/>
              <w:rPr>
                <w:sz w:val="24"/>
                <w:szCs w:val="24"/>
                <w:color w:val="auto"/>
              </w:rPr>
            </w:pPr>
          </w:p>
        </w:tc>
      </w:tr>
      <w:tr>
        <w:trPr>
          <w:trHeight w:val="219"/>
        </w:trPr>
        <w:tc>
          <w:tcPr>
            <w:tcW w:w="5060" w:type="dxa"/>
            <w:vAlign w:val="bottom"/>
          </w:tcPr>
          <w:p>
            <w:pPr>
              <w:spacing w:after="0"/>
              <w:rPr>
                <w:sz w:val="20"/>
                <w:szCs w:val="20"/>
                <w:color w:val="auto"/>
              </w:rPr>
            </w:pPr>
            <w:r>
              <w:rPr>
                <w:rFonts w:ascii="Arial" w:cs="Arial" w:eastAsia="Arial" w:hAnsi="Arial"/>
                <w:sz w:val="18"/>
                <w:szCs w:val="18"/>
                <w:color w:val="auto"/>
              </w:rPr>
              <w:t>Net Increase (Decrease) in Net Assets Resulting from</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53"/>
        </w:trPr>
        <w:tc>
          <w:tcPr>
            <w:tcW w:w="5060" w:type="dxa"/>
            <w:vAlign w:val="bottom"/>
          </w:tcPr>
          <w:p>
            <w:pPr>
              <w:ind w:left="180"/>
              <w:spacing w:after="0"/>
              <w:rPr>
                <w:sz w:val="20"/>
                <w:szCs w:val="20"/>
                <w:color w:val="auto"/>
              </w:rPr>
            </w:pPr>
            <w:r>
              <w:rPr>
                <w:rFonts w:ascii="Arial" w:cs="Arial" w:eastAsia="Arial" w:hAnsi="Arial"/>
                <w:sz w:val="18"/>
                <w:szCs w:val="18"/>
                <w:color w:val="auto"/>
              </w:rPr>
              <w:t>Operations</w:t>
            </w:r>
            <w:r>
              <w:rPr>
                <w:rFonts w:ascii="Arial" w:cs="Arial" w:eastAsia="Arial" w:hAnsi="Arial"/>
                <w:sz w:val="26"/>
                <w:szCs w:val="26"/>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-919480</wp:posOffset>
            </wp:positionV>
            <wp:extent cx="1460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-919480</wp:posOffset>
            </wp:positionV>
            <wp:extent cx="39344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93446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-2127885</wp:posOffset>
            </wp:positionV>
            <wp:extent cx="137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-2127885</wp:posOffset>
            </wp:positionV>
            <wp:extent cx="39262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Year ended</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Year ended</w:t>
            </w:r>
          </w:p>
        </w:tc>
      </w:tr>
      <w:tr>
        <w:trPr>
          <w:trHeight w:val="162"/>
        </w:trPr>
        <w:tc>
          <w:tcPr>
            <w:tcW w:w="19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19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r>
      <w:tr>
        <w:trPr>
          <w:trHeight w:val="256"/>
        </w:trPr>
        <w:tc>
          <w:tcPr>
            <w:tcW w:w="5840" w:type="dxa"/>
            <w:vAlign w:val="bottom"/>
            <w:gridSpan w:val="2"/>
          </w:tcPr>
          <w:p>
            <w:pPr>
              <w:spacing w:after="0"/>
              <w:rPr>
                <w:sz w:val="20"/>
                <w:szCs w:val="20"/>
                <w:color w:val="auto"/>
              </w:rPr>
            </w:pPr>
            <w:r>
              <w:rPr>
                <w:rFonts w:ascii="Arial" w:cs="Arial" w:eastAsia="Arial" w:hAnsi="Arial"/>
                <w:sz w:val="18"/>
                <w:szCs w:val="18"/>
                <w:color w:val="auto"/>
              </w:rPr>
              <w:t>Non-control/non-affiliate investments at fair value</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$368,016,276</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$224,248,389</w:t>
            </w:r>
          </w:p>
        </w:tc>
        <w:tc>
          <w:tcPr>
            <w:tcW w:w="140" w:type="dxa"/>
            <w:vAlign w:val="bottom"/>
          </w:tcPr>
          <w:p>
            <w:pPr>
              <w:spacing w:after="0"/>
              <w:rPr>
                <w:sz w:val="22"/>
                <w:szCs w:val="22"/>
                <w:color w:val="auto"/>
              </w:rPr>
            </w:pPr>
          </w:p>
        </w:tc>
      </w:tr>
      <w:tr>
        <w:trPr>
          <w:trHeight w:val="257"/>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U.S. Treasury Bills at fair value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99,965,423</w:t>
            </w: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79,959,928</w:t>
            </w:r>
          </w:p>
        </w:tc>
        <w:tc>
          <w:tcPr>
            <w:tcW w:w="140" w:type="dxa"/>
            <w:vAlign w:val="bottom"/>
          </w:tcPr>
          <w:p>
            <w:pPr>
              <w:spacing w:after="0"/>
              <w:rPr>
                <w:sz w:val="22"/>
                <w:szCs w:val="22"/>
                <w:color w:val="auto"/>
              </w:rPr>
            </w:pPr>
          </w:p>
        </w:tc>
      </w:tr>
      <w:tr>
        <w:trPr>
          <w:trHeight w:val="257"/>
        </w:trPr>
        <w:tc>
          <w:tcPr>
            <w:tcW w:w="5840" w:type="dxa"/>
            <w:vAlign w:val="bottom"/>
            <w:gridSpan w:val="2"/>
          </w:tcPr>
          <w:p>
            <w:pPr>
              <w:spacing w:after="0"/>
              <w:rPr>
                <w:sz w:val="20"/>
                <w:szCs w:val="20"/>
                <w:color w:val="auto"/>
              </w:rPr>
            </w:pPr>
            <w:r>
              <w:rPr>
                <w:rFonts w:ascii="Arial" w:cs="Arial" w:eastAsia="Arial" w:hAnsi="Arial"/>
                <w:sz w:val="18"/>
                <w:szCs w:val="18"/>
                <w:color w:val="auto"/>
              </w:rPr>
              <w:t>Cash</w:t>
            </w:r>
          </w:p>
        </w:tc>
        <w:tc>
          <w:tcPr>
            <w:tcW w:w="1000" w:type="dxa"/>
            <w:vAlign w:val="bottom"/>
          </w:tcPr>
          <w:p>
            <w:pPr>
              <w:jc w:val="right"/>
              <w:spacing w:after="0"/>
              <w:rPr>
                <w:sz w:val="20"/>
                <w:szCs w:val="20"/>
                <w:color w:val="auto"/>
              </w:rPr>
            </w:pPr>
            <w:r>
              <w:rPr>
                <w:rFonts w:ascii="Arial" w:cs="Arial" w:eastAsia="Arial" w:hAnsi="Arial"/>
                <w:sz w:val="18"/>
                <w:szCs w:val="18"/>
                <w:color w:val="auto"/>
              </w:rPr>
              <w:t>45,799,672</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2,527,474</w:t>
            </w:r>
          </w:p>
        </w:tc>
        <w:tc>
          <w:tcPr>
            <w:tcW w:w="140" w:type="dxa"/>
            <w:vAlign w:val="bottom"/>
          </w:tcPr>
          <w:p>
            <w:pPr>
              <w:spacing w:after="0"/>
              <w:rPr>
                <w:sz w:val="22"/>
                <w:szCs w:val="22"/>
                <w:color w:val="auto"/>
              </w:rPr>
            </w:pPr>
          </w:p>
        </w:tc>
      </w:tr>
      <w:tr>
        <w:trPr>
          <w:trHeight w:val="257"/>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102,865</w:t>
            </w:r>
          </w:p>
        </w:tc>
        <w:tc>
          <w:tcPr>
            <w:tcW w:w="140" w:type="dxa"/>
            <w:vAlign w:val="bottom"/>
          </w:tcPr>
          <w:p>
            <w:pPr>
              <w:spacing w:after="0"/>
              <w:rPr>
                <w:sz w:val="22"/>
                <w:szCs w:val="22"/>
                <w:color w:val="auto"/>
              </w:rPr>
            </w:pPr>
          </w:p>
        </w:tc>
      </w:tr>
      <w:tr>
        <w:trPr>
          <w:trHeight w:val="257"/>
        </w:trPr>
        <w:tc>
          <w:tcPr>
            <w:tcW w:w="584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000" w:type="dxa"/>
            <w:vAlign w:val="bottom"/>
          </w:tcPr>
          <w:p>
            <w:pPr>
              <w:jc w:val="right"/>
              <w:spacing w:after="0"/>
              <w:rPr>
                <w:sz w:val="20"/>
                <w:szCs w:val="20"/>
                <w:color w:val="auto"/>
              </w:rPr>
            </w:pPr>
            <w:r>
              <w:rPr>
                <w:rFonts w:ascii="Arial" w:cs="Arial" w:eastAsia="Arial" w:hAnsi="Arial"/>
                <w:sz w:val="18"/>
                <w:szCs w:val="18"/>
                <w:color w:val="auto"/>
              </w:rPr>
              <w:t>1,941,502</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1,221,494</w:t>
            </w:r>
          </w:p>
        </w:tc>
        <w:tc>
          <w:tcPr>
            <w:tcW w:w="140" w:type="dxa"/>
            <w:vAlign w:val="bottom"/>
          </w:tcPr>
          <w:p>
            <w:pPr>
              <w:spacing w:after="0"/>
              <w:rPr>
                <w:sz w:val="22"/>
                <w:szCs w:val="22"/>
                <w:color w:val="auto"/>
              </w:rPr>
            </w:pPr>
          </w:p>
        </w:tc>
      </w:tr>
      <w:tr>
        <w:trPr>
          <w:trHeight w:val="25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accounts receivable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403,566</w:t>
            </w: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41,160</w:t>
            </w:r>
          </w:p>
        </w:tc>
        <w:tc>
          <w:tcPr>
            <w:tcW w:w="140" w:type="dxa"/>
            <w:vAlign w:val="bottom"/>
          </w:tcPr>
          <w:p>
            <w:pPr>
              <w:spacing w:after="0"/>
              <w:rPr>
                <w:sz w:val="22"/>
                <w:szCs w:val="22"/>
                <w:color w:val="auto"/>
              </w:rPr>
            </w:pPr>
          </w:p>
        </w:tc>
      </w:tr>
      <w:tr>
        <w:trPr>
          <w:trHeight w:val="264"/>
        </w:trPr>
        <w:tc>
          <w:tcPr>
            <w:tcW w:w="5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Prepaid expenses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165,901</w:t>
            </w:r>
          </w:p>
        </w:tc>
        <w:tc>
          <w:tcPr>
            <w:tcW w:w="3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120,064</w:t>
            </w:r>
          </w:p>
        </w:tc>
        <w:tc>
          <w:tcPr>
            <w:tcW w:w="140" w:type="dxa"/>
            <w:vAlign w:val="bottom"/>
          </w:tcPr>
          <w:p>
            <w:pPr>
              <w:spacing w:after="0"/>
              <w:rPr>
                <w:sz w:val="22"/>
                <w:szCs w:val="22"/>
                <w:color w:val="auto"/>
              </w:rPr>
            </w:pPr>
          </w:p>
        </w:tc>
      </w:tr>
      <w:tr>
        <w:trPr>
          <w:trHeight w:val="25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$516,292,340</w:t>
            </w: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$308,484,133</w:t>
            </w:r>
          </w:p>
        </w:tc>
        <w:tc>
          <w:tcPr>
            <w:tcW w:w="140" w:type="dxa"/>
            <w:vAlign w:val="bottom"/>
          </w:tcPr>
          <w:p>
            <w:pPr>
              <w:spacing w:after="0"/>
              <w:rPr>
                <w:sz w:val="22"/>
                <w:szCs w:val="22"/>
                <w:color w:val="auto"/>
              </w:rPr>
            </w:pPr>
          </w:p>
        </w:tc>
      </w:tr>
      <w:tr>
        <w:trPr>
          <w:trHeight w:val="270"/>
        </w:trPr>
        <w:tc>
          <w:tcPr>
            <w:tcW w:w="5840" w:type="dxa"/>
            <w:vAlign w:val="bottom"/>
            <w:gridSpan w:val="2"/>
          </w:tcPr>
          <w:p>
            <w:pPr>
              <w:spacing w:after="0"/>
              <w:rPr>
                <w:sz w:val="20"/>
                <w:szCs w:val="20"/>
                <w:color w:val="auto"/>
              </w:rPr>
            </w:pPr>
            <w:r>
              <w:rPr>
                <w:rFonts w:ascii="Arial" w:cs="Arial" w:eastAsia="Arial" w:hAnsi="Arial"/>
                <w:sz w:val="18"/>
                <w:szCs w:val="18"/>
                <w:color w:val="auto"/>
              </w:rPr>
              <w:t>Credit facilities</w:t>
            </w:r>
          </w:p>
        </w:tc>
        <w:tc>
          <w:tcPr>
            <w:tcW w:w="1000" w:type="dxa"/>
            <w:vAlign w:val="bottom"/>
          </w:tcPr>
          <w:p>
            <w:pPr>
              <w:jc w:val="right"/>
              <w:spacing w:after="0"/>
              <w:rPr>
                <w:sz w:val="20"/>
                <w:szCs w:val="20"/>
                <w:color w:val="auto"/>
              </w:rPr>
            </w:pPr>
            <w:r>
              <w:rPr>
                <w:rFonts w:ascii="Arial" w:cs="Arial" w:eastAsia="Arial" w:hAnsi="Arial"/>
                <w:sz w:val="18"/>
                <w:szCs w:val="18"/>
                <w:color w:val="auto"/>
              </w:rPr>
              <w:t>61,000,000</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59,500,000</w:t>
            </w:r>
          </w:p>
        </w:tc>
        <w:tc>
          <w:tcPr>
            <w:tcW w:w="140" w:type="dxa"/>
            <w:vAlign w:val="bottom"/>
          </w:tcPr>
          <w:p>
            <w:pPr>
              <w:spacing w:after="0"/>
              <w:rPr>
                <w:sz w:val="23"/>
                <w:szCs w:val="23"/>
                <w:color w:val="auto"/>
              </w:rPr>
            </w:pPr>
          </w:p>
        </w:tc>
      </w:tr>
      <w:tr>
        <w:trPr>
          <w:trHeight w:val="27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credit facility fees</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(978,907)</w:t>
            </w:r>
          </w:p>
        </w:tc>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(129,759)</w:t>
            </w:r>
          </w:p>
        </w:tc>
        <w:tc>
          <w:tcPr>
            <w:tcW w:w="140" w:type="dxa"/>
            <w:vAlign w:val="bottom"/>
          </w:tcPr>
          <w:p>
            <w:pPr>
              <w:spacing w:after="0"/>
              <w:rPr>
                <w:sz w:val="23"/>
                <w:szCs w:val="23"/>
                <w:color w:val="auto"/>
              </w:rPr>
            </w:pPr>
          </w:p>
        </w:tc>
      </w:tr>
      <w:tr>
        <w:trPr>
          <w:trHeight w:val="270"/>
        </w:trPr>
        <w:tc>
          <w:tcPr>
            <w:tcW w:w="5840" w:type="dxa"/>
            <w:vAlign w:val="bottom"/>
            <w:gridSpan w:val="2"/>
          </w:tcPr>
          <w:p>
            <w:pPr>
              <w:spacing w:after="0"/>
              <w:rPr>
                <w:sz w:val="20"/>
                <w:szCs w:val="20"/>
                <w:color w:val="auto"/>
              </w:rPr>
            </w:pPr>
            <w:r>
              <w:rPr>
                <w:rFonts w:ascii="Arial" w:cs="Arial" w:eastAsia="Arial" w:hAnsi="Arial"/>
                <w:sz w:val="18"/>
                <w:szCs w:val="18"/>
                <w:color w:val="auto"/>
              </w:rPr>
              <w:t>Payable for securities purchased</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80,699</w:t>
            </w:r>
          </w:p>
        </w:tc>
        <w:tc>
          <w:tcPr>
            <w:tcW w:w="140" w:type="dxa"/>
            <w:vAlign w:val="bottom"/>
          </w:tcPr>
          <w:p>
            <w:pPr>
              <w:spacing w:after="0"/>
              <w:rPr>
                <w:sz w:val="23"/>
                <w:szCs w:val="23"/>
                <w:color w:val="auto"/>
              </w:rPr>
            </w:pPr>
          </w:p>
        </w:tc>
      </w:tr>
      <w:tr>
        <w:trPr>
          <w:trHeight w:val="27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23"/>
                <w:szCs w:val="23"/>
                <w:color w:val="auto"/>
              </w:rPr>
            </w:pPr>
          </w:p>
        </w:tc>
      </w:tr>
      <w:tr>
        <w:trPr>
          <w:trHeight w:val="270"/>
        </w:trPr>
        <w:tc>
          <w:tcPr>
            <w:tcW w:w="5840" w:type="dxa"/>
            <w:vAlign w:val="bottom"/>
            <w:gridSpan w:val="2"/>
          </w:tcPr>
          <w:p>
            <w:pPr>
              <w:spacing w:after="0"/>
              <w:rPr>
                <w:sz w:val="20"/>
                <w:szCs w:val="20"/>
                <w:color w:val="auto"/>
              </w:rPr>
            </w:pPr>
            <w:r>
              <w:rPr>
                <w:rFonts w:ascii="Arial" w:cs="Arial" w:eastAsia="Arial" w:hAnsi="Arial"/>
                <w:sz w:val="18"/>
                <w:szCs w:val="18"/>
                <w:color w:val="auto"/>
              </w:rPr>
              <w:t>Reverse repurchase agreement</w:t>
            </w:r>
          </w:p>
        </w:tc>
        <w:tc>
          <w:tcPr>
            <w:tcW w:w="1000" w:type="dxa"/>
            <w:vAlign w:val="bottom"/>
          </w:tcPr>
          <w:p>
            <w:pPr>
              <w:jc w:val="right"/>
              <w:spacing w:after="0"/>
              <w:rPr>
                <w:sz w:val="20"/>
                <w:szCs w:val="20"/>
                <w:color w:val="auto"/>
              </w:rPr>
            </w:pPr>
            <w:r>
              <w:rPr>
                <w:rFonts w:ascii="Arial" w:cs="Arial" w:eastAsia="Arial" w:hAnsi="Arial"/>
                <w:sz w:val="18"/>
                <w:szCs w:val="18"/>
                <w:color w:val="auto"/>
              </w:rPr>
              <w:t>74,593,802</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79,560,129</w:t>
            </w:r>
          </w:p>
        </w:tc>
        <w:tc>
          <w:tcPr>
            <w:tcW w:w="140" w:type="dxa"/>
            <w:vAlign w:val="bottom"/>
          </w:tcPr>
          <w:p>
            <w:pPr>
              <w:spacing w:after="0"/>
              <w:rPr>
                <w:sz w:val="23"/>
                <w:szCs w:val="23"/>
                <w:color w:val="auto"/>
              </w:rPr>
            </w:pPr>
          </w:p>
        </w:tc>
      </w:tr>
      <w:tr>
        <w:trPr>
          <w:trHeight w:val="27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incentive fees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3,582,987</w:t>
            </w:r>
          </w:p>
        </w:tc>
        <w:tc>
          <w:tcPr>
            <w:tcW w:w="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1,071,566</w:t>
            </w:r>
          </w:p>
        </w:tc>
        <w:tc>
          <w:tcPr>
            <w:tcW w:w="140" w:type="dxa"/>
            <w:vAlign w:val="bottom"/>
          </w:tcPr>
          <w:p>
            <w:pPr>
              <w:spacing w:after="0"/>
              <w:rPr>
                <w:sz w:val="23"/>
                <w:szCs w:val="23"/>
                <w:color w:val="auto"/>
              </w:rPr>
            </w:pPr>
          </w:p>
        </w:tc>
      </w:tr>
      <w:tr>
        <w:trPr>
          <w:trHeight w:val="270"/>
        </w:trPr>
        <w:tc>
          <w:tcPr>
            <w:tcW w:w="5840" w:type="dxa"/>
            <w:vAlign w:val="bottom"/>
            <w:gridSpan w:val="2"/>
          </w:tcPr>
          <w:p>
            <w:pPr>
              <w:spacing w:after="0"/>
              <w:rPr>
                <w:sz w:val="20"/>
                <w:szCs w:val="20"/>
                <w:color w:val="auto"/>
              </w:rPr>
            </w:pPr>
            <w:r>
              <w:rPr>
                <w:rFonts w:ascii="Arial" w:cs="Arial" w:eastAsia="Arial" w:hAnsi="Arial"/>
                <w:sz w:val="18"/>
                <w:szCs w:val="18"/>
                <w:color w:val="auto"/>
              </w:rPr>
              <w:t>Due to affiliate</w:t>
            </w:r>
          </w:p>
        </w:tc>
        <w:tc>
          <w:tcPr>
            <w:tcW w:w="1000" w:type="dxa"/>
            <w:vAlign w:val="bottom"/>
          </w:tcPr>
          <w:p>
            <w:pPr>
              <w:jc w:val="right"/>
              <w:spacing w:after="0"/>
              <w:rPr>
                <w:sz w:val="20"/>
                <w:szCs w:val="20"/>
                <w:color w:val="auto"/>
              </w:rPr>
            </w:pPr>
            <w:r>
              <w:rPr>
                <w:rFonts w:ascii="Arial" w:cs="Arial" w:eastAsia="Arial" w:hAnsi="Arial"/>
                <w:sz w:val="18"/>
                <w:szCs w:val="18"/>
                <w:color w:val="auto"/>
              </w:rPr>
              <w:t>81,537</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116,697</w:t>
            </w:r>
          </w:p>
        </w:tc>
        <w:tc>
          <w:tcPr>
            <w:tcW w:w="140" w:type="dxa"/>
            <w:vAlign w:val="bottom"/>
          </w:tcPr>
          <w:p>
            <w:pPr>
              <w:spacing w:after="0"/>
              <w:rPr>
                <w:sz w:val="23"/>
                <w:szCs w:val="23"/>
                <w:color w:val="auto"/>
              </w:rPr>
            </w:pPr>
          </w:p>
        </w:tc>
      </w:tr>
      <w:tr>
        <w:trPr>
          <w:trHeight w:val="27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500,056</w:t>
            </w:r>
          </w:p>
        </w:tc>
        <w:tc>
          <w:tcPr>
            <w:tcW w:w="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163,981</w:t>
            </w:r>
          </w:p>
        </w:tc>
        <w:tc>
          <w:tcPr>
            <w:tcW w:w="140" w:type="dxa"/>
            <w:vAlign w:val="bottom"/>
          </w:tcPr>
          <w:p>
            <w:pPr>
              <w:spacing w:after="0"/>
              <w:rPr>
                <w:sz w:val="23"/>
                <w:szCs w:val="23"/>
                <w:color w:val="auto"/>
              </w:rPr>
            </w:pPr>
          </w:p>
        </w:tc>
      </w:tr>
      <w:tr>
        <w:trPr>
          <w:trHeight w:val="277"/>
        </w:trPr>
        <w:tc>
          <w:tcPr>
            <w:tcW w:w="5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expenses and other liabilities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1,199,644</w:t>
            </w: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388,666</w:t>
            </w:r>
          </w:p>
        </w:tc>
        <w:tc>
          <w:tcPr>
            <w:tcW w:w="140" w:type="dxa"/>
            <w:vAlign w:val="bottom"/>
          </w:tcPr>
          <w:p>
            <w:pPr>
              <w:spacing w:after="0"/>
              <w:rPr>
                <w:sz w:val="24"/>
                <w:szCs w:val="24"/>
                <w:color w:val="auto"/>
              </w:rPr>
            </w:pPr>
          </w:p>
        </w:tc>
      </w:tr>
      <w:tr>
        <w:trPr>
          <w:trHeight w:val="27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$139,979,119</w:t>
            </w:r>
          </w:p>
        </w:tc>
        <w:tc>
          <w:tcPr>
            <w:tcW w:w="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$140,981,738</w:t>
            </w:r>
          </w:p>
        </w:tc>
        <w:tc>
          <w:tcPr>
            <w:tcW w:w="140" w:type="dxa"/>
            <w:vAlign w:val="bottom"/>
          </w:tcPr>
          <w:p>
            <w:pPr>
              <w:spacing w:after="0"/>
              <w:rPr>
                <w:sz w:val="23"/>
                <w:szCs w:val="23"/>
                <w:color w:val="auto"/>
              </w:rPr>
            </w:pPr>
          </w:p>
        </w:tc>
      </w:tr>
      <w:tr>
        <w:trPr>
          <w:trHeight w:val="270"/>
        </w:trPr>
        <w:tc>
          <w:tcPr>
            <w:tcW w:w="5840" w:type="dxa"/>
            <w:vAlign w:val="bottom"/>
            <w:gridSpan w:val="2"/>
          </w:tcPr>
          <w:p>
            <w:pPr>
              <w:spacing w:after="0"/>
              <w:rPr>
                <w:sz w:val="20"/>
                <w:szCs w:val="20"/>
                <w:color w:val="auto"/>
              </w:rPr>
            </w:pPr>
            <w:r>
              <w:rPr>
                <w:rFonts w:ascii="Arial" w:cs="Arial" w:eastAsia="Arial" w:hAnsi="Arial"/>
                <w:sz w:val="18"/>
                <w:szCs w:val="18"/>
                <w:color w:val="auto"/>
              </w:rPr>
              <w:t>Total Net Assets</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$376,313,221</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$167,369,395</w:t>
            </w:r>
          </w:p>
        </w:tc>
        <w:tc>
          <w:tcPr>
            <w:tcW w:w="140" w:type="dxa"/>
            <w:vAlign w:val="bottom"/>
          </w:tcPr>
          <w:p>
            <w:pPr>
              <w:spacing w:after="0"/>
              <w:rPr>
                <w:sz w:val="23"/>
                <w:szCs w:val="23"/>
                <w:color w:val="auto"/>
              </w:rPr>
            </w:pPr>
          </w:p>
        </w:tc>
      </w:tr>
      <w:tr>
        <w:trPr>
          <w:trHeight w:val="27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tcPr>
          <w:p>
            <w:pPr>
              <w:spacing w:after="0"/>
              <w:rPr>
                <w:sz w:val="23"/>
                <w:szCs w:val="23"/>
                <w:color w:val="auto"/>
              </w:rPr>
            </w:pPr>
          </w:p>
        </w:tc>
      </w:tr>
      <w:tr>
        <w:trPr>
          <w:trHeight w:val="283"/>
        </w:trPr>
        <w:tc>
          <w:tcPr>
            <w:tcW w:w="5840" w:type="dxa"/>
            <w:vAlign w:val="bottom"/>
            <w:gridSpan w:val="2"/>
          </w:tcPr>
          <w:p>
            <w:pPr>
              <w:spacing w:after="0" w:line="283" w:lineRule="exact"/>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26"/>
                <w:szCs w:val="26"/>
                <w:color w:val="auto"/>
                <w:vertAlign w:val="superscript"/>
              </w:rPr>
              <w:t>(2)</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3.27%</w:t>
            </w:r>
          </w:p>
        </w:tc>
      </w:tr>
      <w:tr>
        <w:trPr>
          <w:trHeight w:val="283"/>
        </w:trPr>
        <w:tc>
          <w:tcPr>
            <w:tcW w:w="5840" w:type="dxa"/>
            <w:vAlign w:val="bottom"/>
            <w:gridSpan w:val="2"/>
            <w:shd w:val="clear" w:color="auto" w:fill="CCEEFF"/>
          </w:tcPr>
          <w:p>
            <w:pPr>
              <w:spacing w:after="0" w:line="283" w:lineRule="exact"/>
              <w:rPr>
                <w:sz w:val="20"/>
                <w:szCs w:val="20"/>
                <w:color w:val="auto"/>
              </w:rPr>
            </w:pPr>
            <w:r>
              <w:rPr>
                <w:rFonts w:ascii="Arial" w:cs="Arial" w:eastAsia="Arial" w:hAnsi="Arial"/>
                <w:sz w:val="18"/>
                <w:szCs w:val="18"/>
                <w:color w:val="auto"/>
              </w:rPr>
              <w:t>Net Asset Value per Share</w:t>
            </w:r>
            <w:r>
              <w:rPr>
                <w:rFonts w:ascii="Arial" w:cs="Arial" w:eastAsia="Arial" w:hAnsi="Arial"/>
                <w:sz w:val="26"/>
                <w:szCs w:val="26"/>
                <w:color w:val="auto"/>
                <w:vertAlign w:val="superscript"/>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40" w:type="dxa"/>
            <w:vAlign w:val="bottom"/>
          </w:tcPr>
          <w:p>
            <w:pPr>
              <w:spacing w:after="0"/>
              <w:rPr>
                <w:sz w:val="24"/>
                <w:szCs w:val="24"/>
                <w:color w:val="auto"/>
              </w:rPr>
            </w:pPr>
          </w:p>
        </w:tc>
      </w:tr>
      <w:tr>
        <w:trPr>
          <w:trHeight w:val="270"/>
        </w:trPr>
        <w:tc>
          <w:tcPr>
            <w:tcW w:w="58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for period, basic</w:t>
            </w:r>
          </w:p>
        </w:tc>
        <w:tc>
          <w:tcPr>
            <w:tcW w:w="1000" w:type="dxa"/>
            <w:vAlign w:val="bottom"/>
          </w:tcPr>
          <w:p>
            <w:pPr>
              <w:jc w:val="right"/>
              <w:spacing w:after="0"/>
              <w:rPr>
                <w:sz w:val="20"/>
                <w:szCs w:val="20"/>
                <w:color w:val="auto"/>
              </w:rPr>
            </w:pPr>
            <w:r>
              <w:rPr>
                <w:rFonts w:ascii="Arial" w:cs="Arial" w:eastAsia="Arial" w:hAnsi="Arial"/>
                <w:sz w:val="18"/>
                <w:szCs w:val="18"/>
                <w:color w:val="auto"/>
              </w:rPr>
              <w:t>18,701,021</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9,300,960</w:t>
            </w:r>
          </w:p>
        </w:tc>
        <w:tc>
          <w:tcPr>
            <w:tcW w:w="140" w:type="dxa"/>
            <w:vAlign w:val="bottom"/>
          </w:tcPr>
          <w:p>
            <w:pPr>
              <w:spacing w:after="0"/>
              <w:rPr>
                <w:sz w:val="23"/>
                <w:szCs w:val="23"/>
                <w:color w:val="auto"/>
              </w:rPr>
            </w:pPr>
          </w:p>
        </w:tc>
      </w:tr>
      <w:tr>
        <w:trPr>
          <w:trHeight w:val="27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and paid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40,651,334</w:t>
            </w:r>
          </w:p>
        </w:tc>
        <w:tc>
          <w:tcPr>
            <w:tcW w:w="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7,283,810</w:t>
            </w:r>
          </w:p>
        </w:tc>
        <w:tc>
          <w:tcPr>
            <w:tcW w:w="140" w:type="dxa"/>
            <w:vAlign w:val="bottom"/>
          </w:tcPr>
          <w:p>
            <w:pPr>
              <w:spacing w:after="0"/>
              <w:rPr>
                <w:sz w:val="23"/>
                <w:szCs w:val="23"/>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3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-1379855</wp:posOffset>
            </wp:positionV>
            <wp:extent cx="45777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-3102610</wp:posOffset>
            </wp:positionV>
            <wp:extent cx="45777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-4422775</wp:posOffset>
            </wp:positionV>
            <wp:extent cx="45688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82" w:lineRule="exact"/>
        <w:rPr>
          <w:sz w:val="20"/>
          <w:szCs w:val="20"/>
          <w:color w:val="auto"/>
        </w:rPr>
      </w:pPr>
    </w:p>
    <w:p>
      <w:pPr>
        <w:jc w:val="both"/>
        <w:ind w:left="1620" w:right="679" w:hanging="358"/>
        <w:spacing w:after="0" w:line="263"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 share data is based on average weighted shares outstanding, except where such amounts need to be adjusted to be consistent with what is disclosed in the financial highlights of our audited financial statements.</w:t>
      </w:r>
    </w:p>
    <w:p>
      <w:pPr>
        <w:spacing w:after="0" w:line="102" w:lineRule="exact"/>
        <w:rPr>
          <w:rFonts w:ascii="Arial" w:cs="Arial" w:eastAsia="Arial" w:hAnsi="Arial"/>
          <w:sz w:val="18"/>
          <w:szCs w:val="18"/>
          <w:color w:val="auto"/>
        </w:rPr>
      </w:pPr>
    </w:p>
    <w:p>
      <w:pPr>
        <w:ind w:left="1620" w:right="679" w:hanging="358"/>
        <w:spacing w:after="0" w:line="277"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return based on net asset value is based upon the change in net asset value per share between the opening and ending net asset values per share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jc w:val="both"/>
        <w:ind w:left="1260" w:right="679" w:firstLine="360"/>
        <w:spacing w:after="0" w:line="252" w:lineRule="auto"/>
        <w:rPr>
          <w:sz w:val="20"/>
          <w:szCs w:val="20"/>
          <w:color w:val="auto"/>
        </w:rPr>
      </w:pPr>
      <w:r>
        <w:rPr>
          <w:rFonts w:ascii="Arial" w:cs="Arial" w:eastAsia="Arial" w:hAnsi="Arial"/>
          <w:sz w:val="17"/>
          <w:szCs w:val="17"/>
          <w:color w:val="auto"/>
        </w:rPr>
        <w:t>This annual report on Form 10-K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8" w:lineRule="exact"/>
        <w:rPr>
          <w:sz w:val="20"/>
          <w:szCs w:val="20"/>
          <w:color w:val="auto"/>
        </w:rPr>
      </w:pPr>
    </w:p>
    <w:p>
      <w:pPr>
        <w:ind w:left="1800" w:right="679" w:hanging="178"/>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62" w:lineRule="exact"/>
        <w:rPr>
          <w:rFonts w:ascii="Arial" w:cs="Arial" w:eastAsia="Arial" w:hAnsi="Arial"/>
          <w:sz w:val="18"/>
          <w:szCs w:val="18"/>
          <w:color w:val="auto"/>
        </w:rPr>
      </w:pPr>
    </w:p>
    <w:p>
      <w:pPr>
        <w:jc w:val="both"/>
        <w:ind w:left="1800" w:right="679" w:hanging="178"/>
        <w:spacing w:after="0" w:line="263"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75"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lending and investment activities;</w:t>
      </w:r>
    </w:p>
    <w:p>
      <w:pPr>
        <w:spacing w:after="0" w:line="62"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to the extent that we use leverage as part of our investment strategy;</w:t>
      </w:r>
    </w:p>
    <w:p>
      <w:pPr>
        <w:spacing w:after="0" w:line="62" w:lineRule="exact"/>
        <w:rPr>
          <w:rFonts w:ascii="Arial" w:cs="Arial" w:eastAsia="Arial" w:hAnsi="Arial"/>
          <w:sz w:val="18"/>
          <w:szCs w:val="18"/>
          <w:color w:val="auto"/>
        </w:rPr>
      </w:pPr>
    </w:p>
    <w:p>
      <w:pPr>
        <w:jc w:val="both"/>
        <w:ind w:left="1800" w:right="679" w:hanging="178"/>
        <w:spacing w:after="0" w:line="263"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U.S. dollars;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competition with other entities and our affiliates for investment opportunities;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speculative and illiquid nature of our investments;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use of borrowed money to finance a portion of our investments;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adequacy of our financing sources and working capital;</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of our external investment adviser, RGC, to locate suitable investments for us and to monitor and administer our investments;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of RGC to attract and retain highly talented professionals;</w:t>
      </w:r>
    </w:p>
    <w:p>
      <w:pPr>
        <w:spacing w:after="0" w:line="117"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qualify and maintain our qualification as a RIC under Subchapter M of the Code, and as a BDC;</w:t>
      </w:r>
    </w:p>
    <w:p>
      <w:pPr>
        <w:spacing w:after="0" w:line="62" w:lineRule="exact"/>
        <w:rPr>
          <w:rFonts w:ascii="Arial" w:cs="Arial" w:eastAsia="Arial" w:hAnsi="Arial"/>
          <w:sz w:val="18"/>
          <w:szCs w:val="18"/>
          <w:color w:val="auto"/>
        </w:rPr>
      </w:pPr>
    </w:p>
    <w:p>
      <w:pPr>
        <w:jc w:val="both"/>
        <w:ind w:left="1800" w:right="679" w:hanging="178"/>
        <w:spacing w:after="0" w:line="263"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 of legal, tax and regulatory changes; and</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79" w:hanging="178"/>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other risks, uncertainties and other factors we identify under “Risk Factors” in Part I, Item 1A of this Form 10-K and in our other filings with the SEC.</w:t>
      </w:r>
    </w:p>
    <w:p>
      <w:pPr>
        <w:spacing w:after="0" w:line="89" w:lineRule="exact"/>
        <w:rPr>
          <w:sz w:val="20"/>
          <w:szCs w:val="20"/>
          <w:color w:val="auto"/>
        </w:rPr>
      </w:pPr>
    </w:p>
    <w:p>
      <w:pPr>
        <w:jc w:val="both"/>
        <w:ind w:left="1260" w:right="679" w:firstLine="360"/>
        <w:spacing w:after="0" w:line="257" w:lineRule="auto"/>
        <w:rPr>
          <w:sz w:val="20"/>
          <w:szCs w:val="20"/>
          <w:color w:val="auto"/>
        </w:rPr>
      </w:pPr>
      <w:r>
        <w:rPr>
          <w:rFonts w:ascii="Arial" w:cs="Arial" w:eastAsia="Arial" w:hAnsi="Arial"/>
          <w:sz w:val="17"/>
          <w:szCs w:val="17"/>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 Factors” in in Part I, Item 1A of this Form 10-K.</w:t>
      </w:r>
    </w:p>
    <w:p>
      <w:pPr>
        <w:spacing w:after="0" w:line="108" w:lineRule="exact"/>
        <w:rPr>
          <w:sz w:val="20"/>
          <w:szCs w:val="20"/>
          <w:color w:val="auto"/>
        </w:rPr>
      </w:pPr>
    </w:p>
    <w:p>
      <w:pPr>
        <w:jc w:val="both"/>
        <w:ind w:left="1260" w:right="679" w:firstLine="360"/>
        <w:spacing w:after="0" w:line="257" w:lineRule="auto"/>
        <w:rPr>
          <w:sz w:val="20"/>
          <w:szCs w:val="20"/>
          <w:color w:val="auto"/>
        </w:rPr>
      </w:pPr>
      <w:r>
        <w:rPr>
          <w:rFonts w:ascii="Arial" w:cs="Arial" w:eastAsia="Arial" w:hAnsi="Arial"/>
          <w:sz w:val="17"/>
          <w:szCs w:val="17"/>
          <w:color w:val="auto"/>
        </w:rPr>
        <w:t>We have based the forward-looking statements included in this Form 10-K on information available to us on the date of this Form 10-K,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10-K, quarterly reports on Form 10-Q and current reports on Form 8-K.</w:t>
      </w:r>
    </w:p>
    <w:p>
      <w:pPr>
        <w:spacing w:after="0" w:line="108" w:lineRule="exact"/>
        <w:rPr>
          <w:sz w:val="20"/>
          <w:szCs w:val="20"/>
          <w:color w:val="auto"/>
        </w:rPr>
      </w:pPr>
    </w:p>
    <w:p>
      <w:pPr>
        <w:jc w:val="both"/>
        <w:ind w:left="1260" w:right="679" w:firstLine="360"/>
        <w:spacing w:after="0" w:line="24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annual report on Form 10-K.</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1260" w:right="679" w:firstLine="360"/>
        <w:spacing w:after="0" w:line="253" w:lineRule="auto"/>
        <w:rPr>
          <w:sz w:val="20"/>
          <w:szCs w:val="20"/>
          <w:color w:val="auto"/>
        </w:rPr>
      </w:pPr>
      <w:r>
        <w:rPr>
          <w:rFonts w:ascii="Arial" w:cs="Arial" w:eastAsia="Arial" w:hAnsi="Arial"/>
          <w:sz w:val="17"/>
          <w:szCs w:val="17"/>
          <w:color w:val="auto"/>
        </w:rPr>
        <w:t>We are an externally managed, non-diversified closed-end investment management company that was formed on August 31, 2015 as a corporation under the laws of the State of Maryland. We have elected to be regulated as a BDC under the 1940 Act. In addition, we have elected to be treated, have qualified, and intend to continue to qualify annually, as a RIC under Subchapter M of the Code. If we fail to qualify as a RIC for any taxable year, we will be subject to corporate-level U.S. federal income tax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16" w:lineRule="exact"/>
        <w:rPr>
          <w:sz w:val="20"/>
          <w:szCs w:val="20"/>
          <w:color w:val="auto"/>
        </w:rPr>
      </w:pPr>
    </w:p>
    <w:p>
      <w:pPr>
        <w:jc w:val="both"/>
        <w:ind w:left="1260" w:right="679" w:firstLine="360"/>
        <w:spacing w:after="0" w:line="287"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last day of our fiscal year following the fifth anniversary of an IPO, if any, or until the earliest of (i) the last day of the first fiscal year in which we have total annual gross revenue of $1,070,000,000 or more,</w:t>
      </w:r>
    </w:p>
    <w:p>
      <w:pPr>
        <w:spacing w:after="0" w:line="2" w:lineRule="exact"/>
        <w:rPr>
          <w:sz w:val="20"/>
          <w:szCs w:val="20"/>
          <w:color w:val="auto"/>
        </w:rPr>
      </w:pPr>
    </w:p>
    <w:p>
      <w:pPr>
        <w:jc w:val="both"/>
        <w:ind w:left="1260" w:right="679" w:firstLine="2"/>
        <w:spacing w:after="0" w:line="290" w:lineRule="auto"/>
        <w:tabs>
          <w:tab w:leader="none" w:pos="1527"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December 31 of the fiscal year in which we become a “large accelerated filer” as defined in Rule 12b-2 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96"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We are externally managed by RGC, an investment adviser that has registered with the SEC under the Investment Advisers Act of 1940, as amended. The Administrator, a wholly-owned subsidiary of RGC, provides all the administrative services necessary for us to operate.</w:t>
      </w:r>
    </w:p>
    <w:p>
      <w:pPr>
        <w:spacing w:after="0" w:line="103" w:lineRule="exact"/>
        <w:rPr>
          <w:sz w:val="20"/>
          <w:szCs w:val="20"/>
          <w:color w:val="auto"/>
        </w:rPr>
      </w:pPr>
    </w:p>
    <w:p>
      <w:pPr>
        <w:jc w:val="both"/>
        <w:ind w:left="1260" w:right="679" w:firstLine="360"/>
        <w:spacing w:after="0" w:line="269" w:lineRule="auto"/>
        <w:rPr>
          <w:sz w:val="20"/>
          <w:szCs w:val="20"/>
          <w:color w:val="auto"/>
        </w:rPr>
      </w:pPr>
      <w:r>
        <w:rPr>
          <w:rFonts w:ascii="Arial" w:cs="Arial" w:eastAsia="Arial" w:hAnsi="Arial"/>
          <w:sz w:val="17"/>
          <w:szCs w:val="17"/>
          <w:color w:val="auto"/>
        </w:rPr>
        <w:t>We commenced investment activities in portfolio securities during the quarter ended June 30, 2017, and we commenced investment activities in U.S. Treasury Bills during the quarter ended December 31, 2016. In October 2015, in connection with our formation, we issued and sold 1,667 shares of our common stock to R. David Spreng, our President, Chief Executive Officer and Chairman of our Board of Directors, for an aggregate purchase price of $25,000. In December 2016, we completed the initial closing of capital commitments in the Initial Private Offering, in connection with which we called capital and issued 333,333 shares of our common stock to investors for an aggregate purchase price of $5,000,000. The final closing of the Initial Private Offering occurred on December 1, 2017. As of December 31, 2019, in connection with the Initial Private Offering, we had total capital commitments of $275,000,000 and had issued 18,241,157 shares of our common stock to stockholders for a total purchase price of $275,000,000.</w:t>
      </w:r>
    </w:p>
    <w:p>
      <w:pPr>
        <w:spacing w:after="0" w:line="37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As of December 31, 2019, we had completed multiple closings under its second private offering (the “Second Private Offering”) and had accepted capital commitments of $174,423,500. As of December 31, 2019, in connection with the Second Private Offering, we have issued an aggregate of 5,000,000 shares for a total purchase price of $75,000,000.</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Portfolio Composition</w:t>
      </w:r>
    </w:p>
    <w:p>
      <w:pPr>
        <w:spacing w:after="0" w:line="144"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At December 31, 2019, we had investments in twenty-five portfolio companies, representing twenty-one companies where we held loan and warrant investments, four companies where we held warrant interests only, and held two U.S. Treasury Bills. The following table shows the fair value of our investments, by asset class, as of December 31, 2019:</w:t>
      </w:r>
    </w:p>
    <w:p>
      <w:pPr>
        <w:spacing w:after="0" w:line="15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2"/>
              </w:rPr>
              <w:t>Percentage of</w:t>
            </w:r>
          </w:p>
        </w:tc>
      </w:tr>
      <w:tr>
        <w:trPr>
          <w:trHeight w:val="186"/>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240" w:type="dxa"/>
            <w:vAlign w:val="bottom"/>
            <w:gridSpan w:val="3"/>
          </w:tcPr>
          <w:p>
            <w:pPr>
              <w:ind w:left="360"/>
              <w:spacing w:after="0"/>
              <w:rPr>
                <w:sz w:val="20"/>
                <w:szCs w:val="20"/>
                <w:color w:val="auto"/>
              </w:rPr>
            </w:pPr>
            <w:r>
              <w:rPr>
                <w:rFonts w:ascii="Arial" w:cs="Arial" w:eastAsia="Arial" w:hAnsi="Arial"/>
                <w:sz w:val="14"/>
                <w:szCs w:val="14"/>
                <w:b w:val="1"/>
                <w:bCs w:val="1"/>
                <w:color w:val="auto"/>
              </w:rPr>
              <w:t>Cost</w:t>
            </w:r>
          </w:p>
        </w:tc>
        <w:tc>
          <w:tcPr>
            <w:tcW w:w="1000" w:type="dxa"/>
            <w:vAlign w:val="bottom"/>
          </w:tcPr>
          <w:p>
            <w:pPr>
              <w:jc w:val="right"/>
              <w:ind w:right="11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2"/>
              </w:rPr>
              <w:t>Total Portfolio</w:t>
            </w:r>
          </w:p>
        </w:tc>
      </w:tr>
      <w:tr>
        <w:trPr>
          <w:trHeight w:val="26"/>
        </w:trPr>
        <w:tc>
          <w:tcPr>
            <w:tcW w:w="4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50"/>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57"/>
        </w:trPr>
        <w:tc>
          <w:tcPr>
            <w:tcW w:w="4860" w:type="dxa"/>
            <w:vAlign w:val="bottom"/>
            <w:gridSpan w:val="3"/>
          </w:tcPr>
          <w:p>
            <w:pPr>
              <w:ind w:left="180"/>
              <w:spacing w:after="0"/>
              <w:rPr>
                <w:sz w:val="20"/>
                <w:szCs w:val="20"/>
                <w:color w:val="auto"/>
              </w:rPr>
            </w:pPr>
            <w:r>
              <w:rPr>
                <w:rFonts w:ascii="Arial" w:cs="Arial" w:eastAsia="Arial" w:hAnsi="Arial"/>
                <w:sz w:val="18"/>
                <w:szCs w:val="18"/>
                <w:color w:val="auto"/>
              </w:rPr>
              <w:t>Senior Secured Term Loans</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$358,385,089</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$349,570,424</w:t>
            </w: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74.6%</w:t>
            </w:r>
          </w:p>
        </w:tc>
      </w:tr>
      <w:tr>
        <w:trPr>
          <w:trHeight w:val="257"/>
        </w:trPr>
        <w:tc>
          <w:tcPr>
            <w:tcW w:w="4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437,515</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22"/>
                <w:szCs w:val="22"/>
                <w:color w:val="auto"/>
              </w:rPr>
            </w:pPr>
          </w:p>
        </w:tc>
      </w:tr>
      <w:tr>
        <w:trPr>
          <w:trHeight w:val="263"/>
        </w:trPr>
        <w:tc>
          <w:tcPr>
            <w:tcW w:w="486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Warrants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18,383,811</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18,008,337</w:t>
            </w:r>
          </w:p>
        </w:tc>
        <w:tc>
          <w:tcPr>
            <w:tcW w:w="440" w:type="dxa"/>
            <w:vAlign w:val="bottom"/>
            <w:tcBorders>
              <w:bottom w:val="single" w:sz="8" w:color="CCEEFF"/>
            </w:tcBorders>
            <w:gridSpan w:val="2"/>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CEEFF"/>
            </w:tcBorders>
          </w:tcPr>
          <w:p>
            <w:pPr>
              <w:spacing w:after="0"/>
              <w:rPr>
                <w:sz w:val="22"/>
                <w:szCs w:val="22"/>
                <w:color w:val="auto"/>
              </w:rPr>
            </w:pPr>
          </w:p>
        </w:tc>
      </w:tr>
      <w:tr>
        <w:trPr>
          <w:trHeight w:val="263"/>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377,018,900</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368,016,276</w:t>
            </w:r>
          </w:p>
        </w:tc>
        <w:tc>
          <w:tcPr>
            <w:tcW w:w="44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60" w:type="dxa"/>
            <w:vAlign w:val="bottom"/>
            <w:tcBorders>
              <w:bottom w:val="single" w:sz="8" w:color="CCEEFF"/>
            </w:tcBorders>
            <w:shd w:val="clear" w:color="auto" w:fill="CCEEFF"/>
          </w:tcPr>
          <w:p>
            <w:pPr>
              <w:spacing w:after="0"/>
              <w:rPr>
                <w:sz w:val="22"/>
                <w:szCs w:val="22"/>
                <w:color w:val="auto"/>
              </w:rPr>
            </w:pPr>
          </w:p>
        </w:tc>
      </w:tr>
      <w:tr>
        <w:trPr>
          <w:trHeight w:val="263"/>
        </w:trPr>
        <w:tc>
          <w:tcPr>
            <w:tcW w:w="48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U.S. Treasury Bill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99,982,765</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99,965,423</w:t>
            </w:r>
          </w:p>
        </w:tc>
        <w:tc>
          <w:tcPr>
            <w:tcW w:w="440" w:type="dxa"/>
            <w:vAlign w:val="bottom"/>
            <w:tcBorders>
              <w:bottom w:val="single" w:sz="8" w:color="CCEEFF"/>
            </w:tcBorders>
            <w:gridSpan w:val="2"/>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Borders>
              <w:bottom w:val="single" w:sz="8" w:color="CCEEFF"/>
            </w:tcBorders>
          </w:tcPr>
          <w:p>
            <w:pPr>
              <w:spacing w:after="0"/>
              <w:rPr>
                <w:sz w:val="22"/>
                <w:szCs w:val="22"/>
                <w:color w:val="auto"/>
              </w:rPr>
            </w:pPr>
          </w:p>
        </w:tc>
      </w:tr>
      <w:tr>
        <w:trPr>
          <w:trHeight w:val="264"/>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$477,001,665</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$467,981,699</w:t>
            </w: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-205105</wp:posOffset>
            </wp:positionV>
            <wp:extent cx="1631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-205105</wp:posOffset>
            </wp:positionV>
            <wp:extent cx="291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38658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658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-565150</wp:posOffset>
            </wp:positionV>
            <wp:extent cx="1631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-565150</wp:posOffset>
            </wp:positionV>
            <wp:extent cx="291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-565150</wp:posOffset>
            </wp:positionV>
            <wp:extent cx="38658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658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-1233805</wp:posOffset>
            </wp:positionV>
            <wp:extent cx="137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-1233805</wp:posOffset>
            </wp:positionV>
            <wp:extent cx="137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-1233805</wp:posOffset>
            </wp:positionV>
            <wp:extent cx="137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jc w:val="both"/>
        <w:ind w:left="1260" w:right="679" w:firstLine="360"/>
        <w:spacing w:after="0" w:line="279" w:lineRule="auto"/>
        <w:rPr>
          <w:sz w:val="20"/>
          <w:szCs w:val="20"/>
          <w:color w:val="auto"/>
        </w:rPr>
      </w:pPr>
      <w:r>
        <w:rPr>
          <w:rFonts w:ascii="Arial" w:cs="Arial" w:eastAsia="Arial" w:hAnsi="Arial"/>
          <w:sz w:val="17"/>
          <w:szCs w:val="17"/>
          <w:color w:val="auto"/>
        </w:rPr>
        <w:t>At December 31, 2018, we had investments in twenty portfolio companies, representing seventeen companies where we held loan and warrant investments, two companies where we held warrant interests only, and one company where we held an unfunded commitment to lend, and held one U.S. Treasury Bill. The following table shows the fair value of our investments, by asset class, as of December 31, 2018:</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2"/>
              </w:rPr>
              <w:t>Percentage of</w:t>
            </w:r>
          </w:p>
        </w:tc>
      </w:tr>
      <w:tr>
        <w:trPr>
          <w:trHeight w:val="186"/>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240" w:type="dxa"/>
            <w:vAlign w:val="bottom"/>
            <w:gridSpan w:val="3"/>
          </w:tcPr>
          <w:p>
            <w:pPr>
              <w:ind w:left="360"/>
              <w:spacing w:after="0"/>
              <w:rPr>
                <w:sz w:val="20"/>
                <w:szCs w:val="20"/>
                <w:color w:val="auto"/>
              </w:rPr>
            </w:pPr>
            <w:r>
              <w:rPr>
                <w:rFonts w:ascii="Arial" w:cs="Arial" w:eastAsia="Arial" w:hAnsi="Arial"/>
                <w:sz w:val="14"/>
                <w:szCs w:val="14"/>
                <w:b w:val="1"/>
                <w:bCs w:val="1"/>
                <w:color w:val="auto"/>
              </w:rPr>
              <w:t>Cost</w:t>
            </w:r>
          </w:p>
        </w:tc>
        <w:tc>
          <w:tcPr>
            <w:tcW w:w="1000" w:type="dxa"/>
            <w:vAlign w:val="bottom"/>
          </w:tcPr>
          <w:p>
            <w:pPr>
              <w:jc w:val="right"/>
              <w:ind w:right="11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2"/>
              </w:rPr>
              <w:t>Total Portfolio</w:t>
            </w:r>
          </w:p>
        </w:tc>
      </w:tr>
      <w:tr>
        <w:trPr>
          <w:trHeight w:val="25"/>
        </w:trPr>
        <w:tc>
          <w:tcPr>
            <w:tcW w:w="4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50"/>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56"/>
        </w:trPr>
        <w:tc>
          <w:tcPr>
            <w:tcW w:w="4860" w:type="dxa"/>
            <w:vAlign w:val="bottom"/>
            <w:gridSpan w:val="3"/>
          </w:tcPr>
          <w:p>
            <w:pPr>
              <w:ind w:left="180"/>
              <w:spacing w:after="0"/>
              <w:rPr>
                <w:sz w:val="20"/>
                <w:szCs w:val="20"/>
                <w:color w:val="auto"/>
              </w:rPr>
            </w:pPr>
            <w:r>
              <w:rPr>
                <w:rFonts w:ascii="Arial" w:cs="Arial" w:eastAsia="Arial" w:hAnsi="Arial"/>
                <w:sz w:val="18"/>
                <w:szCs w:val="18"/>
                <w:color w:val="auto"/>
              </w:rPr>
              <w:t>Senior Secured Term Loans</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$208,588,381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$208,539,353</w:t>
            </w: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68.5%</w:t>
            </w:r>
          </w:p>
        </w:tc>
      </w:tr>
      <w:tr>
        <w:trPr>
          <w:trHeight w:val="257"/>
        </w:trPr>
        <w:tc>
          <w:tcPr>
            <w:tcW w:w="4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461,826</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22"/>
                <w:szCs w:val="22"/>
                <w:color w:val="auto"/>
              </w:rPr>
            </w:pPr>
          </w:p>
        </w:tc>
      </w:tr>
      <w:tr>
        <w:trPr>
          <w:trHeight w:val="263"/>
        </w:trPr>
        <w:tc>
          <w:tcPr>
            <w:tcW w:w="486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Warrants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15,013,511</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15,247,210</w:t>
            </w:r>
          </w:p>
        </w:tc>
        <w:tc>
          <w:tcPr>
            <w:tcW w:w="440" w:type="dxa"/>
            <w:vAlign w:val="bottom"/>
            <w:tcBorders>
              <w:bottom w:val="single" w:sz="8" w:color="CCEEFF"/>
            </w:tcBorders>
            <w:gridSpan w:val="2"/>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tcPr>
          <w:p>
            <w:pPr>
              <w:spacing w:after="0"/>
              <w:rPr>
                <w:sz w:val="22"/>
                <w:szCs w:val="22"/>
                <w:color w:val="auto"/>
              </w:rPr>
            </w:pPr>
          </w:p>
        </w:tc>
      </w:tr>
      <w:tr>
        <w:trPr>
          <w:trHeight w:val="263"/>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223,851,892</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224,248,389</w:t>
            </w:r>
          </w:p>
        </w:tc>
        <w:tc>
          <w:tcPr>
            <w:tcW w:w="44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60" w:type="dxa"/>
            <w:vAlign w:val="bottom"/>
            <w:tcBorders>
              <w:bottom w:val="single" w:sz="8" w:color="CCEEFF"/>
            </w:tcBorders>
            <w:shd w:val="clear" w:color="auto" w:fill="CCEEFF"/>
          </w:tcPr>
          <w:p>
            <w:pPr>
              <w:spacing w:after="0"/>
              <w:rPr>
                <w:sz w:val="22"/>
                <w:szCs w:val="22"/>
                <w:color w:val="auto"/>
              </w:rPr>
            </w:pPr>
          </w:p>
        </w:tc>
      </w:tr>
      <w:tr>
        <w:trPr>
          <w:trHeight w:val="264"/>
        </w:trPr>
        <w:tc>
          <w:tcPr>
            <w:tcW w:w="48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U.S. Treasury Bill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79,959,928</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79,959,928</w:t>
            </w:r>
          </w:p>
        </w:tc>
        <w:tc>
          <w:tcPr>
            <w:tcW w:w="440" w:type="dxa"/>
            <w:vAlign w:val="bottom"/>
            <w:tcBorders>
              <w:bottom w:val="single" w:sz="8" w:color="CCEEFF"/>
            </w:tcBorders>
            <w:gridSpan w:val="2"/>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60" w:type="dxa"/>
            <w:vAlign w:val="bottom"/>
            <w:tcBorders>
              <w:bottom w:val="single" w:sz="8" w:color="CCEEFF"/>
            </w:tcBorders>
          </w:tcPr>
          <w:p>
            <w:pPr>
              <w:spacing w:after="0"/>
              <w:rPr>
                <w:sz w:val="22"/>
                <w:szCs w:val="22"/>
                <w:color w:val="auto"/>
              </w:rPr>
            </w:pPr>
          </w:p>
        </w:tc>
      </w:tr>
      <w:tr>
        <w:trPr>
          <w:trHeight w:val="263"/>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$303,811,820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$304,208,317</w:t>
            </w: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-205105</wp:posOffset>
            </wp:positionV>
            <wp:extent cx="1631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-205105</wp:posOffset>
            </wp:positionV>
            <wp:extent cx="2914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38658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658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-565150</wp:posOffset>
            </wp:positionV>
            <wp:extent cx="1631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-565150</wp:posOffset>
            </wp:positionV>
            <wp:extent cx="2914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-565150</wp:posOffset>
            </wp:positionV>
            <wp:extent cx="38658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658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-1233805</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-1233805</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-1233805</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Investment Activity</w:t>
      </w:r>
    </w:p>
    <w:p>
      <w:pPr>
        <w:spacing w:after="0" w:line="158" w:lineRule="exact"/>
        <w:rPr>
          <w:sz w:val="20"/>
          <w:szCs w:val="20"/>
          <w:color w:val="auto"/>
        </w:rPr>
      </w:pPr>
    </w:p>
    <w:p>
      <w:pPr>
        <w:jc w:val="both"/>
        <w:ind w:left="1260" w:right="679" w:firstLine="360"/>
        <w:spacing w:after="0" w:line="273" w:lineRule="auto"/>
        <w:rPr>
          <w:sz w:val="20"/>
          <w:szCs w:val="20"/>
          <w:color w:val="auto"/>
        </w:rPr>
      </w:pPr>
      <w:r>
        <w:rPr>
          <w:rFonts w:ascii="Arial" w:cs="Arial" w:eastAsia="Arial" w:hAnsi="Arial"/>
          <w:sz w:val="17"/>
          <w:szCs w:val="17"/>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For the year ended December 31, 2019 the Company funded $173,000,000 in nine new portfolio companies and $62,250,000 in eight existing portfolio companies. The Company also received $82,500,000 in loan repayments from six portfolio companies and $3,241,934 in proceeds from the termination of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Portfolio Reconciliation</w:t>
      </w:r>
    </w:p>
    <w:p>
      <w:pPr>
        <w:spacing w:after="0" w:line="148" w:lineRule="exact"/>
        <w:rPr>
          <w:sz w:val="20"/>
          <w:szCs w:val="20"/>
          <w:color w:val="auto"/>
        </w:rPr>
      </w:pPr>
    </w:p>
    <w:p>
      <w:pPr>
        <w:jc w:val="both"/>
        <w:ind w:left="1260" w:right="679" w:firstLine="360"/>
        <w:spacing w:after="0" w:line="277" w:lineRule="auto"/>
        <w:rPr>
          <w:sz w:val="20"/>
          <w:szCs w:val="20"/>
          <w:color w:val="auto"/>
        </w:rPr>
      </w:pPr>
      <w:r>
        <w:rPr>
          <w:rFonts w:ascii="Arial" w:cs="Arial" w:eastAsia="Arial" w:hAnsi="Arial"/>
          <w:sz w:val="18"/>
          <w:szCs w:val="18"/>
          <w:color w:val="auto"/>
        </w:rPr>
        <w:t>The following is a reconciliation of our investment portfolio, including U.S. Treasury Bills, for the years ended December 31, 2019, 2018 and 2017.</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19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19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6"/>
                <w:szCs w:val="16"/>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Beginning Investment Portfolio</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$ 304,208,317</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$ 140,721,508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2,999,849</w:t>
            </w:r>
          </w:p>
        </w:tc>
        <w:tc>
          <w:tcPr>
            <w:tcW w:w="60" w:type="dxa"/>
            <w:vAlign w:val="bottom"/>
          </w:tcPr>
          <w:p>
            <w:pPr>
              <w:spacing w:after="0"/>
              <w:rPr>
                <w:sz w:val="21"/>
                <w:szCs w:val="21"/>
                <w:color w:val="auto"/>
              </w:rPr>
            </w:pPr>
          </w:p>
        </w:tc>
      </w:tr>
      <w:tr>
        <w:trPr>
          <w:trHeight w:val="270"/>
        </w:trPr>
        <w:tc>
          <w:tcPr>
            <w:tcW w:w="4840" w:type="dxa"/>
            <w:vAlign w:val="bottom"/>
            <w:gridSpan w:val="3"/>
          </w:tcPr>
          <w:p>
            <w:pPr>
              <w:spacing w:after="0" w:line="270" w:lineRule="exact"/>
              <w:rPr>
                <w:sz w:val="20"/>
                <w:szCs w:val="20"/>
                <w:color w:val="auto"/>
              </w:rPr>
            </w:pPr>
            <w:r>
              <w:rPr>
                <w:rFonts w:ascii="Arial" w:cs="Arial" w:eastAsia="Arial" w:hAnsi="Arial"/>
                <w:sz w:val="18"/>
                <w:szCs w:val="18"/>
                <w:color w:val="auto"/>
              </w:rPr>
              <w:t>Purchase of Investments</w:t>
            </w:r>
            <w:r>
              <w:rPr>
                <w:rFonts w:ascii="Arial" w:cs="Arial" w:eastAsia="Arial" w:hAnsi="Arial"/>
                <w:sz w:val="26"/>
                <w:szCs w:val="26"/>
                <w:color w:val="auto"/>
                <w:vertAlign w:val="superscript"/>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242,999,215</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168,111,471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67,005,037</w:t>
            </w:r>
          </w:p>
        </w:tc>
        <w:tc>
          <w:tcPr>
            <w:tcW w:w="60" w:type="dxa"/>
            <w:vAlign w:val="bottom"/>
          </w:tcPr>
          <w:p>
            <w:pPr>
              <w:spacing w:after="0"/>
              <w:rPr>
                <w:sz w:val="23"/>
                <w:szCs w:val="23"/>
                <w:color w:val="auto"/>
              </w:rPr>
            </w:pPr>
          </w:p>
        </w:tc>
      </w:tr>
      <w:tr>
        <w:trPr>
          <w:trHeight w:val="257"/>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U.S. Treasury Bills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315,836,640</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270,444,962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156,977,177</w:t>
            </w:r>
          </w:p>
        </w:tc>
        <w:tc>
          <w:tcPr>
            <w:tcW w:w="60" w:type="dxa"/>
            <w:vAlign w:val="bottom"/>
          </w:tcPr>
          <w:p>
            <w:pPr>
              <w:spacing w:after="0"/>
              <w:rPr>
                <w:sz w:val="22"/>
                <w:szCs w:val="22"/>
                <w:color w:val="auto"/>
              </w:rPr>
            </w:pPr>
          </w:p>
        </w:tc>
      </w:tr>
      <w:tr>
        <w:trPr>
          <w:trHeight w:val="257"/>
        </w:trPr>
        <w:tc>
          <w:tcPr>
            <w:tcW w:w="4840" w:type="dxa"/>
            <w:vAlign w:val="bottom"/>
            <w:gridSpan w:val="3"/>
          </w:tcPr>
          <w:p>
            <w:pPr>
              <w:spacing w:after="0"/>
              <w:rPr>
                <w:sz w:val="20"/>
                <w:szCs w:val="20"/>
                <w:color w:val="auto"/>
              </w:rPr>
            </w:pPr>
            <w:r>
              <w:rPr>
                <w:rFonts w:ascii="Arial" w:cs="Arial" w:eastAsia="Arial" w:hAnsi="Arial"/>
                <w:sz w:val="18"/>
                <w:szCs w:val="18"/>
                <w:color w:val="auto"/>
              </w:rPr>
              <w:t>Amortization of Fixed Income Premiums and Discounts</w:t>
            </w:r>
          </w:p>
        </w:tc>
        <w:tc>
          <w:tcPr>
            <w:tcW w:w="1060" w:type="dxa"/>
            <w:vAlign w:val="bottom"/>
          </w:tcPr>
          <w:p>
            <w:pPr>
              <w:jc w:val="right"/>
              <w:spacing w:after="0"/>
              <w:rPr>
                <w:sz w:val="20"/>
                <w:szCs w:val="20"/>
                <w:color w:val="auto"/>
              </w:rPr>
            </w:pPr>
            <w:r>
              <w:rPr>
                <w:rFonts w:ascii="Arial" w:cs="Arial" w:eastAsia="Arial" w:hAnsi="Arial"/>
                <w:sz w:val="18"/>
                <w:szCs w:val="18"/>
                <w:color w:val="auto"/>
              </w:rPr>
              <w:t>13,021,775</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4,621,487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834,194</w:t>
            </w:r>
          </w:p>
        </w:tc>
        <w:tc>
          <w:tcPr>
            <w:tcW w:w="60" w:type="dxa"/>
            <w:vAlign w:val="bottom"/>
          </w:tcPr>
          <w:p>
            <w:pPr>
              <w:spacing w:after="0"/>
              <w:rPr>
                <w:sz w:val="22"/>
                <w:szCs w:val="22"/>
                <w:color w:val="auto"/>
              </w:rPr>
            </w:pPr>
          </w:p>
        </w:tc>
      </w:tr>
      <w:tr>
        <w:trPr>
          <w:trHeight w:val="25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Portfolio Investments Repaid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(79,062,912)</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(14,500,629)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57"/>
        </w:trPr>
        <w:tc>
          <w:tcPr>
            <w:tcW w:w="4840" w:type="dxa"/>
            <w:vAlign w:val="bottom"/>
            <w:gridSpan w:val="3"/>
          </w:tcPr>
          <w:p>
            <w:pPr>
              <w:spacing w:after="0"/>
              <w:rPr>
                <w:sz w:val="20"/>
                <w:szCs w:val="20"/>
                <w:color w:val="auto"/>
              </w:rPr>
            </w:pPr>
            <w:r>
              <w:rPr>
                <w:rFonts w:ascii="Arial" w:cs="Arial" w:eastAsia="Arial" w:hAnsi="Arial"/>
                <w:sz w:val="18"/>
                <w:szCs w:val="18"/>
                <w:color w:val="auto"/>
              </w:rPr>
              <w:t>Sales and Maturities of Investments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(23,875,997)</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(2,251,899)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and Maturities of U.S. Treasury Bills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(295,955,273)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(262,989,682)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(87,500,000)</w:t>
            </w:r>
          </w:p>
        </w:tc>
        <w:tc>
          <w:tcPr>
            <w:tcW w:w="60" w:type="dxa"/>
            <w:vAlign w:val="bottom"/>
          </w:tcPr>
          <w:p>
            <w:pPr>
              <w:spacing w:after="0"/>
              <w:rPr>
                <w:sz w:val="22"/>
                <w:szCs w:val="22"/>
                <w:color w:val="auto"/>
              </w:rPr>
            </w:pPr>
          </w:p>
        </w:tc>
      </w:tr>
      <w:tr>
        <w:trPr>
          <w:trHeight w:val="257"/>
        </w:trPr>
        <w:tc>
          <w:tcPr>
            <w:tcW w:w="4840" w:type="dxa"/>
            <w:vAlign w:val="bottom"/>
            <w:gridSpan w:val="3"/>
          </w:tcPr>
          <w:p>
            <w:pPr>
              <w:spacing w:after="0"/>
              <w:rPr>
                <w:sz w:val="20"/>
                <w:szCs w:val="20"/>
                <w:color w:val="auto"/>
              </w:rPr>
            </w:pPr>
            <w:r>
              <w:rPr>
                <w:rFonts w:ascii="Arial" w:cs="Arial" w:eastAsia="Arial" w:hAnsi="Arial"/>
                <w:sz w:val="18"/>
                <w:szCs w:val="18"/>
                <w:color w:val="auto"/>
              </w:rPr>
              <w:t>Realized gain on Investments</w:t>
            </w:r>
          </w:p>
        </w:tc>
        <w:tc>
          <w:tcPr>
            <w:tcW w:w="1060" w:type="dxa"/>
            <w:vAlign w:val="bottom"/>
          </w:tcPr>
          <w:p>
            <w:pPr>
              <w:jc w:val="right"/>
              <w:spacing w:after="0"/>
              <w:rPr>
                <w:sz w:val="20"/>
                <w:szCs w:val="20"/>
                <w:color w:val="auto"/>
              </w:rPr>
            </w:pPr>
            <w:r>
              <w:rPr>
                <w:rFonts w:ascii="Arial" w:cs="Arial" w:eastAsia="Arial" w:hAnsi="Arial"/>
                <w:sz w:val="18"/>
                <w:szCs w:val="18"/>
                <w:color w:val="auto"/>
              </w:rPr>
              <w:t>226,396</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59,792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62"/>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(9,416,462)</w:t>
            </w: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(8,693)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405,251</w:t>
            </w:r>
          </w:p>
        </w:tc>
        <w:tc>
          <w:tcPr>
            <w:tcW w:w="60" w:type="dxa"/>
            <w:vAlign w:val="bottom"/>
          </w:tcPr>
          <w:p>
            <w:pPr>
              <w:spacing w:after="0"/>
              <w:rPr>
                <w:sz w:val="22"/>
                <w:szCs w:val="22"/>
                <w:color w:val="auto"/>
              </w:rPr>
            </w:pPr>
          </w:p>
        </w:tc>
      </w:tr>
      <w:tr>
        <w:trPr>
          <w:trHeight w:val="257"/>
        </w:trPr>
        <w:tc>
          <w:tcPr>
            <w:tcW w:w="484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Ending Investment Portfolio</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$ 467,981,699</w:t>
            </w:r>
          </w:p>
        </w:tc>
        <w:tc>
          <w:tcPr>
            <w:tcW w:w="120" w:type="dxa"/>
            <w:vAlign w:val="bottom"/>
            <w:tcBorders>
              <w:top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$ 304,208,317</w:t>
            </w:r>
          </w:p>
        </w:tc>
        <w:tc>
          <w:tcPr>
            <w:tcW w:w="1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140,721,508</w:t>
            </w:r>
          </w:p>
        </w:tc>
        <w:tc>
          <w:tcPr>
            <w:tcW w:w="60" w:type="dxa"/>
            <w:vAlign w:val="bottom"/>
          </w:tcPr>
          <w:p>
            <w:pPr>
              <w:spacing w:after="0"/>
              <w:rPr>
                <w:sz w:val="22"/>
                <w:szCs w:val="22"/>
                <w:color w:val="auto"/>
              </w:rPr>
            </w:pPr>
          </w:p>
        </w:tc>
      </w:tr>
      <w:tr>
        <w:trPr>
          <w:trHeight w:val="20"/>
        </w:trPr>
        <w:tc>
          <w:tcPr>
            <w:tcW w:w="1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-1902460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-1902460</wp:posOffset>
            </wp:positionV>
            <wp:extent cx="38144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1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PIK interest.</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Asset Quality</w:t>
      </w:r>
    </w:p>
    <w:p>
      <w:pPr>
        <w:spacing w:after="0" w:line="162" w:lineRule="exact"/>
        <w:rPr>
          <w:sz w:val="20"/>
          <w:szCs w:val="20"/>
          <w:color w:val="auto"/>
        </w:rPr>
      </w:pPr>
    </w:p>
    <w:p>
      <w:pPr>
        <w:jc w:val="both"/>
        <w:ind w:left="1260" w:right="659" w:firstLine="360"/>
        <w:spacing w:after="0" w:line="259" w:lineRule="auto"/>
        <w:rPr>
          <w:sz w:val="20"/>
          <w:szCs w:val="20"/>
          <w:color w:val="auto"/>
        </w:rPr>
      </w:pPr>
      <w:r>
        <w:rPr>
          <w:rFonts w:ascii="Arial" w:cs="Arial" w:eastAsia="Arial" w:hAnsi="Arial"/>
          <w:sz w:val="18"/>
          <w:szCs w:val="18"/>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ectPr>
          <w:pgSz w:w="11900" w:h="16838" w:orient="portrait"/>
          <w:cols w:equalWidth="0" w:num="1">
            <w:col w:w="10139"/>
          </w:cols>
          <w:pgMar w:left="320" w:top="132" w:right="1440" w:bottom="1440" w:gutter="0" w:footer="0" w:header="0"/>
        </w:sectPr>
      </w:pPr>
    </w:p>
    <w:p>
      <w:pPr>
        <w:spacing w:after="0" w:line="138" w:lineRule="exact"/>
        <w:rPr>
          <w:sz w:val="20"/>
          <w:szCs w:val="20"/>
          <w:color w:val="auto"/>
        </w:rPr>
      </w:pPr>
    </w:p>
    <w:p>
      <w:pPr>
        <w:jc w:val="center"/>
        <w:ind w:right="1360"/>
        <w:spacing w:after="0"/>
        <w:rPr>
          <w:sz w:val="20"/>
          <w:szCs w:val="20"/>
          <w:color w:val="auto"/>
        </w:rPr>
      </w:pPr>
      <w:r>
        <w:rPr>
          <w:rFonts w:ascii="Arial" w:cs="Arial" w:eastAsia="Arial" w:hAnsi="Arial"/>
          <w:sz w:val="12"/>
          <w:szCs w:val="12"/>
          <w:b w:val="1"/>
          <w:bCs w:val="1"/>
          <w:color w:val="auto"/>
        </w:rPr>
        <w:t>Investment</w:t>
      </w:r>
    </w:p>
    <w:p>
      <w:pPr>
        <w:spacing w:after="0" w:line="40"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22225</wp:posOffset>
            </wp:positionV>
            <wp:extent cx="4375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Rating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39370</wp:posOffset>
            </wp:positionV>
            <wp:extent cx="46462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646295" cy="889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4560" w:space="720"/>
            <w:col w:w="4859"/>
          </w:cols>
          <w:pgMar w:left="320" w:top="132" w:right="1440" w:bottom="1440" w:gutter="0" w:footer="0" w:header="0"/>
          <w:type w:val="continuous"/>
        </w:sectPr>
      </w:pPr>
    </w:p>
    <w:p>
      <w:pPr>
        <w:ind w:left="2160" w:right="679" w:hanging="599"/>
        <w:spacing w:after="0" w:line="273" w:lineRule="auto"/>
        <w:tabs>
          <w:tab w:leader="none" w:pos="2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Performing above plan and/or strong enterprise profile, value, financial performance/coverage. Maintaining full covenant and payment compliance as agreed.</w:t>
      </w:r>
    </w:p>
    <w:p>
      <w:pPr>
        <w:spacing w:after="0" w:line="2" w:lineRule="exact"/>
        <w:rPr>
          <w:sz w:val="20"/>
          <w:szCs w:val="20"/>
          <w:color w:val="auto"/>
        </w:rPr>
      </w:pPr>
    </w:p>
    <w:p>
      <w:pPr>
        <w:jc w:val="both"/>
        <w:ind w:left="2160" w:right="679" w:hanging="599"/>
        <w:spacing w:after="0" w:line="263" w:lineRule="auto"/>
        <w:tabs>
          <w:tab w:leader="none" w:pos="2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Performing at or reasonably close to plan. Acceptable business prospects, enterprise value, financial coverage. Maintaining key covenant and payment compliance as agreed. All new loans are initially graded Category 2.</w:t>
      </w:r>
    </w:p>
    <w:p>
      <w:pPr>
        <w:spacing w:after="0" w:line="8" w:lineRule="exact"/>
        <w:rPr>
          <w:sz w:val="20"/>
          <w:szCs w:val="20"/>
          <w:color w:val="auto"/>
        </w:rPr>
      </w:pPr>
    </w:p>
    <w:p>
      <w:pPr>
        <w:jc w:val="both"/>
        <w:ind w:left="2160" w:right="679" w:hanging="599"/>
        <w:spacing w:after="0" w:line="263" w:lineRule="auto"/>
        <w:tabs>
          <w:tab w:leader="none" w:pos="2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Performing below plan of record. Potential elements of concern over performance, trends and business outlook. Loan-to-value remains adequate. Potential key covenant non-compliance. Full payment compliance.</w:t>
      </w:r>
    </w:p>
    <w:p>
      <w:pPr>
        <w:spacing w:after="0" w:line="8" w:lineRule="exact"/>
        <w:rPr>
          <w:sz w:val="20"/>
          <w:szCs w:val="20"/>
          <w:color w:val="auto"/>
        </w:rPr>
      </w:pPr>
    </w:p>
    <w:p>
      <w:pPr>
        <w:jc w:val="both"/>
        <w:ind w:left="2160" w:right="679" w:hanging="599"/>
        <w:spacing w:after="0" w:line="277" w:lineRule="auto"/>
        <w:tabs>
          <w:tab w:leader="none" w:pos="21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p>
      <w:pPr>
        <w:spacing w:after="0" w:line="2" w:lineRule="exact"/>
        <w:rPr>
          <w:sz w:val="20"/>
          <w:szCs w:val="20"/>
          <w:color w:val="auto"/>
        </w:rPr>
      </w:pPr>
    </w:p>
    <w:p>
      <w:pPr>
        <w:jc w:val="both"/>
        <w:ind w:left="2160" w:right="679" w:hanging="599"/>
        <w:spacing w:after="0" w:line="263" w:lineRule="auto"/>
        <w:tabs>
          <w:tab w:leader="none" w:pos="2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The following tables show the investment rankings of our debt investments at fair value as of December 31, 2019 and 2018.</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9"/>
          </w:tcPr>
          <w:p>
            <w:pPr>
              <w:ind w:left="540"/>
              <w:spacing w:after="0"/>
              <w:rPr>
                <w:sz w:val="20"/>
                <w:szCs w:val="20"/>
                <w:color w:val="auto"/>
              </w:rPr>
            </w:pPr>
            <w:r>
              <w:rPr>
                <w:rFonts w:ascii="Arial" w:cs="Arial" w:eastAsia="Arial" w:hAnsi="Arial"/>
                <w:sz w:val="14"/>
                <w:szCs w:val="14"/>
                <w:b w:val="1"/>
                <w:bCs w:val="1"/>
                <w:color w:val="auto"/>
              </w:rPr>
              <w:t>As of December 31, 2019</w:t>
            </w:r>
          </w:p>
        </w:tc>
      </w:tr>
      <w:tr>
        <w:trPr>
          <w:trHeight w:val="26"/>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r>
      <w:tr>
        <w:trPr>
          <w:trHeight w:val="173"/>
        </w:trPr>
        <w:tc>
          <w:tcPr>
            <w:tcW w:w="4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Number of</w:t>
            </w:r>
          </w:p>
        </w:tc>
      </w:tr>
      <w:tr>
        <w:trPr>
          <w:trHeight w:val="162"/>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 of Total</w:t>
            </w:r>
          </w:p>
        </w:tc>
        <w:tc>
          <w:tcPr>
            <w:tcW w:w="22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Portfolio</w:t>
            </w:r>
          </w:p>
        </w:tc>
      </w:tr>
      <w:tr>
        <w:trPr>
          <w:trHeight w:val="186"/>
        </w:trPr>
        <w:tc>
          <w:tcPr>
            <w:tcW w:w="4460" w:type="dxa"/>
            <w:vAlign w:val="bottom"/>
          </w:tcPr>
          <w:p>
            <w:pPr>
              <w:spacing w:after="0"/>
              <w:rPr>
                <w:sz w:val="20"/>
                <w:szCs w:val="20"/>
                <w:color w:val="auto"/>
              </w:rPr>
            </w:pPr>
            <w:r>
              <w:rPr>
                <w:rFonts w:ascii="Arial" w:cs="Arial" w:eastAsia="Arial" w:hAnsi="Arial"/>
                <w:sz w:val="14"/>
                <w:szCs w:val="14"/>
                <w:b w:val="1"/>
                <w:bCs w:val="1"/>
                <w:color w:val="auto"/>
              </w:rPr>
              <w:t>Investment Rating</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15"/>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Portfolio</w:t>
            </w:r>
          </w:p>
        </w:tc>
        <w:tc>
          <w:tcPr>
            <w:tcW w:w="900" w:type="dxa"/>
            <w:vAlign w:val="bottom"/>
            <w:gridSpan w:val="4"/>
          </w:tcPr>
          <w:p>
            <w:pPr>
              <w:jc w:val="center"/>
              <w:ind w:left="133"/>
              <w:spacing w:after="0"/>
              <w:rPr>
                <w:sz w:val="20"/>
                <w:szCs w:val="20"/>
                <w:color w:val="auto"/>
              </w:rPr>
            </w:pPr>
            <w:r>
              <w:rPr>
                <w:rFonts w:ascii="Arial" w:cs="Arial" w:eastAsia="Arial" w:hAnsi="Arial"/>
                <w:sz w:val="14"/>
                <w:szCs w:val="14"/>
                <w:b w:val="1"/>
                <w:bCs w:val="1"/>
                <w:color w:val="auto"/>
                <w:w w:val="90"/>
              </w:rPr>
              <w:t>Companies</w:t>
            </w:r>
          </w:p>
        </w:tc>
      </w:tr>
      <w:tr>
        <w:trPr>
          <w:trHeight w:val="26"/>
        </w:trPr>
        <w:tc>
          <w:tcPr>
            <w:tcW w:w="44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r>
      <w:tr>
        <w:trPr>
          <w:trHeight w:val="257"/>
        </w:trPr>
        <w:tc>
          <w:tcPr>
            <w:tcW w:w="4460" w:type="dxa"/>
            <w:vAlign w:val="bottom"/>
          </w:tcPr>
          <w:p>
            <w:pPr>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217,278,446</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46.4%</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2"/>
                <w:szCs w:val="22"/>
                <w:color w:val="auto"/>
              </w:rPr>
            </w:pPr>
          </w:p>
        </w:tc>
      </w:tr>
      <w:tr>
        <w:trPr>
          <w:trHeight w:val="257"/>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119,109,762</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2"/>
                <w:szCs w:val="22"/>
                <w:color w:val="auto"/>
              </w:rPr>
            </w:pPr>
          </w:p>
        </w:tc>
      </w:tr>
      <w:tr>
        <w:trPr>
          <w:trHeight w:val="257"/>
        </w:trPr>
        <w:tc>
          <w:tcPr>
            <w:tcW w:w="4460" w:type="dxa"/>
            <w:vAlign w:val="bottom"/>
          </w:tcPr>
          <w:p>
            <w:pPr>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8,870,625</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1.9%</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r>
      <w:tr>
        <w:trPr>
          <w:trHeight w:val="263"/>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4,311,591</w:t>
            </w:r>
          </w:p>
        </w:tc>
        <w:tc>
          <w:tcPr>
            <w:tcW w:w="380" w:type="dxa"/>
            <w:vAlign w:val="bottom"/>
            <w:gridSpan w:val="2"/>
            <w:shd w:val="clear" w:color="auto" w:fill="CCEEFF"/>
          </w:tcPr>
          <w:p>
            <w:pPr>
              <w:spacing w:after="0"/>
              <w:rPr>
                <w:sz w:val="22"/>
                <w:szCs w:val="2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2"/>
                <w:szCs w:val="22"/>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6"/>
        </w:trPr>
        <w:tc>
          <w:tcPr>
            <w:tcW w:w="446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349,570,424</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74.7%</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2"/>
                <w:szCs w:val="22"/>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41"/>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9"/>
          </w:tcPr>
          <w:p>
            <w:pPr>
              <w:ind w:left="540"/>
              <w:spacing w:after="0"/>
              <w:rPr>
                <w:sz w:val="20"/>
                <w:szCs w:val="20"/>
                <w:color w:val="auto"/>
              </w:rPr>
            </w:pPr>
            <w:r>
              <w:rPr>
                <w:rFonts w:ascii="Arial" w:cs="Arial" w:eastAsia="Arial" w:hAnsi="Arial"/>
                <w:sz w:val="14"/>
                <w:szCs w:val="14"/>
                <w:b w:val="1"/>
                <w:bCs w:val="1"/>
                <w:color w:val="auto"/>
              </w:rPr>
              <w:t>As of December 31, 2018</w:t>
            </w:r>
          </w:p>
        </w:tc>
      </w:tr>
      <w:tr>
        <w:trPr>
          <w:trHeight w:val="26"/>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r>
      <w:tr>
        <w:trPr>
          <w:trHeight w:val="173"/>
        </w:trPr>
        <w:tc>
          <w:tcPr>
            <w:tcW w:w="4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Number of</w:t>
            </w:r>
          </w:p>
        </w:tc>
      </w:tr>
      <w:tr>
        <w:trPr>
          <w:trHeight w:val="162"/>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 of Total</w:t>
            </w:r>
          </w:p>
        </w:tc>
        <w:tc>
          <w:tcPr>
            <w:tcW w:w="22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Portfolio</w:t>
            </w:r>
          </w:p>
        </w:tc>
      </w:tr>
      <w:tr>
        <w:trPr>
          <w:trHeight w:val="186"/>
        </w:trPr>
        <w:tc>
          <w:tcPr>
            <w:tcW w:w="4460" w:type="dxa"/>
            <w:vAlign w:val="bottom"/>
          </w:tcPr>
          <w:p>
            <w:pPr>
              <w:spacing w:after="0"/>
              <w:rPr>
                <w:sz w:val="20"/>
                <w:szCs w:val="20"/>
                <w:color w:val="auto"/>
              </w:rPr>
            </w:pPr>
            <w:r>
              <w:rPr>
                <w:rFonts w:ascii="Arial" w:cs="Arial" w:eastAsia="Arial" w:hAnsi="Arial"/>
                <w:sz w:val="14"/>
                <w:szCs w:val="14"/>
                <w:b w:val="1"/>
                <w:bCs w:val="1"/>
                <w:color w:val="auto"/>
              </w:rPr>
              <w:t>Investment Rating</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15"/>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Portfolio</w:t>
            </w:r>
          </w:p>
        </w:tc>
        <w:tc>
          <w:tcPr>
            <w:tcW w:w="900" w:type="dxa"/>
            <w:vAlign w:val="bottom"/>
            <w:gridSpan w:val="4"/>
          </w:tcPr>
          <w:p>
            <w:pPr>
              <w:jc w:val="center"/>
              <w:ind w:left="133"/>
              <w:spacing w:after="0"/>
              <w:rPr>
                <w:sz w:val="20"/>
                <w:szCs w:val="20"/>
                <w:color w:val="auto"/>
              </w:rPr>
            </w:pPr>
            <w:r>
              <w:rPr>
                <w:rFonts w:ascii="Arial" w:cs="Arial" w:eastAsia="Arial" w:hAnsi="Arial"/>
                <w:sz w:val="14"/>
                <w:szCs w:val="14"/>
                <w:b w:val="1"/>
                <w:bCs w:val="1"/>
                <w:color w:val="auto"/>
                <w:w w:val="90"/>
              </w:rPr>
              <w:t>Companies</w:t>
            </w:r>
          </w:p>
        </w:tc>
      </w:tr>
      <w:tr>
        <w:trPr>
          <w:trHeight w:val="26"/>
        </w:trPr>
        <w:tc>
          <w:tcPr>
            <w:tcW w:w="44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14,762,697</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1"/>
                <w:szCs w:val="21"/>
                <w:color w:val="auto"/>
              </w:rPr>
            </w:pPr>
          </w:p>
        </w:tc>
      </w:tr>
      <w:tr>
        <w:trPr>
          <w:trHeight w:val="256"/>
        </w:trPr>
        <w:tc>
          <w:tcPr>
            <w:tcW w:w="4460" w:type="dxa"/>
            <w:vAlign w:val="bottom"/>
          </w:tcPr>
          <w:p>
            <w:pPr>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107,685,007</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35.4%</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2"/>
                <w:szCs w:val="22"/>
                <w:color w:val="auto"/>
              </w:rPr>
            </w:pPr>
          </w:p>
        </w:tc>
      </w:tr>
      <w:tr>
        <w:trPr>
          <w:trHeight w:val="257"/>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78,292,451</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2"/>
                <w:szCs w:val="22"/>
                <w:color w:val="auto"/>
              </w:rPr>
            </w:pPr>
          </w:p>
        </w:tc>
      </w:tr>
      <w:tr>
        <w:trPr>
          <w:trHeight w:val="257"/>
        </w:trPr>
        <w:tc>
          <w:tcPr>
            <w:tcW w:w="4460" w:type="dxa"/>
            <w:vAlign w:val="bottom"/>
          </w:tcPr>
          <w:p>
            <w:pPr>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7,799,198</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2.6%</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r>
      <w:tr>
        <w:trPr>
          <w:trHeight w:val="263"/>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r>
      <w:tr>
        <w:trPr>
          <w:trHeight w:val="20"/>
        </w:trPr>
        <w:tc>
          <w:tcPr>
            <w:tcW w:w="44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63"/>
        </w:trPr>
        <w:tc>
          <w:tcPr>
            <w:tcW w:w="446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208,539,353</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68.6%</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2"/>
                <w:szCs w:val="22"/>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-2733675</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-2733675</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-2733675</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-1036320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-1036320</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-1036320</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Loans and Debt Securities on Non-Accrual Status</w:t>
      </w:r>
    </w:p>
    <w:p>
      <w:pPr>
        <w:spacing w:after="0" w:line="162" w:lineRule="exact"/>
        <w:rPr>
          <w:sz w:val="20"/>
          <w:szCs w:val="20"/>
          <w:color w:val="auto"/>
        </w:rPr>
      </w:pPr>
    </w:p>
    <w:p>
      <w:pPr>
        <w:jc w:val="both"/>
        <w:ind w:left="1260" w:right="679" w:firstLine="360"/>
        <w:spacing w:after="0" w:line="272" w:lineRule="auto"/>
        <w:rPr>
          <w:sz w:val="20"/>
          <w:szCs w:val="20"/>
          <w:color w:val="auto"/>
        </w:rPr>
      </w:pPr>
      <w:r>
        <w:rPr>
          <w:rFonts w:ascii="Arial" w:cs="Arial" w:eastAsia="Arial" w:hAnsi="Arial"/>
          <w:sz w:val="17"/>
          <w:szCs w:val="17"/>
          <w:color w:val="auto"/>
        </w:rPr>
        <w:t>Generally, when interest and/or principal payments on a loan become past due, or if we otherwise do not expect the borrower to be able to service its debt and other obligations, we will place the loan on non-accrual status and will generally cease recognizing interest income on that loan for financial reporting purposes until all principal and interest have been brought current through payment or due to a restructuring such that the interest income is deemed to be collectible. As of December 31, 2019, we had two loans to Aginity, Inc. representing an aggregate principal funded of $9,000,000 at a fair market value of $4,311,589 on non-accrual status. As of December 31, 2018, we did not have any loans on non-accrual status.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jc w:val="both"/>
        <w:ind w:left="1260" w:right="679" w:firstLine="360"/>
        <w:spacing w:after="0" w:line="272" w:lineRule="auto"/>
        <w:rPr>
          <w:sz w:val="20"/>
          <w:szCs w:val="20"/>
          <w:color w:val="auto"/>
        </w:rPr>
      </w:pPr>
      <w:r>
        <w:rPr>
          <w:rFonts w:ascii="Arial" w:cs="Arial" w:eastAsia="Arial" w:hAnsi="Arial"/>
          <w:sz w:val="17"/>
          <w:szCs w:val="17"/>
          <w:color w:val="auto"/>
        </w:rPr>
        <w:t>An important measure of our financial performance is net increase/(decrease) in net assets resulting from operations, which includes net investment income/(loss), net realized gain/(loss) and net unrealized appreciation/(depreciation). Net investment income/(loss)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appreciation/(depreciation) on investments is the net change in the fair value of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Comparison of the Years Ended December 31, 2019, 2018 and 2017</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86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6"/>
              </w:rPr>
              <w:t>Year Ended</w:t>
            </w:r>
          </w:p>
        </w:tc>
        <w:tc>
          <w:tcPr>
            <w:tcW w:w="16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w:t>
            </w:r>
          </w:p>
        </w:tc>
      </w:tr>
      <w:tr>
        <w:trPr>
          <w:trHeight w:val="186"/>
        </w:trPr>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 2019</w:t>
            </w:r>
          </w:p>
        </w:tc>
        <w:tc>
          <w:tcPr>
            <w:tcW w:w="18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December 31, 2018</w:t>
            </w:r>
          </w:p>
        </w:tc>
        <w:tc>
          <w:tcPr>
            <w:tcW w:w="16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December 31, 2017</w:t>
            </w:r>
          </w:p>
        </w:tc>
      </w:tr>
      <w:tr>
        <w:trPr>
          <w:trHeight w:val="26"/>
        </w:trPr>
        <w:tc>
          <w:tcPr>
            <w:tcW w:w="29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56"/>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jc w:val="right"/>
              <w:ind w:right="360"/>
              <w:spacing w:after="0" w:line="155" w:lineRule="exact"/>
              <w:rPr>
                <w:sz w:val="20"/>
                <w:szCs w:val="20"/>
                <w:color w:val="auto"/>
              </w:rPr>
            </w:pPr>
            <w:r>
              <w:rPr>
                <w:rFonts w:ascii="Arial" w:cs="Arial" w:eastAsia="Arial" w:hAnsi="Arial"/>
                <w:sz w:val="14"/>
                <w:szCs w:val="14"/>
                <w:b w:val="1"/>
                <w:bCs w:val="1"/>
                <w:color w:val="auto"/>
              </w:rPr>
              <w:t>Per</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4"/>
          </w:tcPr>
          <w:p>
            <w:pPr>
              <w:jc w:val="center"/>
              <w:ind w:right="280"/>
              <w:spacing w:after="0" w:line="155" w:lineRule="exact"/>
              <w:rPr>
                <w:sz w:val="20"/>
                <w:szCs w:val="20"/>
                <w:color w:val="auto"/>
              </w:rPr>
            </w:pPr>
            <w:r>
              <w:rPr>
                <w:rFonts w:ascii="Arial" w:cs="Arial" w:eastAsia="Arial" w:hAnsi="Arial"/>
                <w:sz w:val="14"/>
                <w:szCs w:val="14"/>
                <w:b w:val="1"/>
                <w:bCs w:val="1"/>
                <w:color w:val="auto"/>
                <w:w w:val="97"/>
              </w:rPr>
              <w:t>Per</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Per</w:t>
            </w:r>
          </w:p>
        </w:tc>
      </w:tr>
      <w:tr>
        <w:trPr>
          <w:trHeight w:val="243"/>
        </w:trPr>
        <w:tc>
          <w:tcPr>
            <w:tcW w:w="29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2"/>
              </w:rPr>
              <w:t>Share</w:t>
            </w:r>
            <w:r>
              <w:rPr>
                <w:rFonts w:ascii="Arial" w:cs="Arial" w:eastAsia="Arial" w:hAnsi="Arial"/>
                <w:sz w:val="21"/>
                <w:szCs w:val="21"/>
                <w:b w:val="1"/>
                <w:bCs w:val="1"/>
                <w:color w:val="auto"/>
                <w:w w:val="82"/>
                <w:vertAlign w:val="superscript"/>
              </w:rPr>
              <w:t>(1)</w:t>
            </w:r>
          </w:p>
        </w:tc>
        <w:tc>
          <w:tcPr>
            <w:tcW w:w="2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Share</w:t>
            </w:r>
            <w:r>
              <w:rPr>
                <w:rFonts w:ascii="Arial" w:cs="Arial" w:eastAsia="Arial" w:hAnsi="Arial"/>
                <w:sz w:val="21"/>
                <w:szCs w:val="21"/>
                <w:b w:val="1"/>
                <w:bCs w:val="1"/>
                <w:color w:val="auto"/>
                <w:w w:val="85"/>
                <w:vertAlign w:val="superscript"/>
              </w:rPr>
              <w:t>(1)</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Share</w:t>
            </w:r>
            <w:r>
              <w:rPr>
                <w:rFonts w:ascii="Arial" w:cs="Arial" w:eastAsia="Arial" w:hAnsi="Arial"/>
                <w:sz w:val="21"/>
                <w:szCs w:val="21"/>
                <w:b w:val="1"/>
                <w:bCs w:val="1"/>
                <w:color w:val="auto"/>
                <w:w w:val="82"/>
                <w:vertAlign w:val="superscript"/>
              </w:rPr>
              <w:t>(1)</w:t>
            </w:r>
          </w:p>
        </w:tc>
        <w:tc>
          <w:tcPr>
            <w:tcW w:w="40" w:type="dxa"/>
            <w:vAlign w:val="bottom"/>
          </w:tcPr>
          <w:p>
            <w:pPr>
              <w:spacing w:after="0"/>
              <w:rPr>
                <w:sz w:val="21"/>
                <w:szCs w:val="21"/>
                <w:color w:val="auto"/>
              </w:rPr>
            </w:pPr>
          </w:p>
        </w:tc>
      </w:tr>
      <w:tr>
        <w:trPr>
          <w:trHeight w:val="250"/>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57"/>
        </w:trPr>
        <w:tc>
          <w:tcPr>
            <w:tcW w:w="294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$54,450,955</w:t>
            </w:r>
          </w:p>
        </w:tc>
        <w:tc>
          <w:tcPr>
            <w:tcW w:w="20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1"/>
              </w:rPr>
              <w:t>$ 2.91</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$19,565,467</w:t>
            </w:r>
          </w:p>
        </w:tc>
        <w:tc>
          <w:tcPr>
            <w:tcW w:w="20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$2.10</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$ 3,051,077</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1"/>
              </w:rPr>
              <w:t>$ 1.09</w:t>
            </w:r>
          </w:p>
        </w:tc>
        <w:tc>
          <w:tcPr>
            <w:tcW w:w="40" w:type="dxa"/>
            <w:vAlign w:val="bottom"/>
          </w:tcPr>
          <w:p>
            <w:pPr>
              <w:spacing w:after="0"/>
              <w:rPr>
                <w:sz w:val="22"/>
                <w:szCs w:val="22"/>
                <w:color w:val="auto"/>
              </w:rPr>
            </w:pPr>
          </w:p>
        </w:tc>
      </w:tr>
      <w:tr>
        <w:trPr>
          <w:trHeight w:val="257"/>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688,181</w:t>
            </w:r>
          </w:p>
        </w:tc>
        <w:tc>
          <w:tcPr>
            <w:tcW w:w="2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1,190,587</w:t>
            </w:r>
          </w:p>
        </w:tc>
        <w:tc>
          <w:tcPr>
            <w:tcW w:w="2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138,645</w:t>
            </w:r>
          </w:p>
        </w:tc>
        <w:tc>
          <w:tcPr>
            <w:tcW w:w="22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0" w:type="dxa"/>
            <w:vAlign w:val="bottom"/>
          </w:tcPr>
          <w:p>
            <w:pPr>
              <w:spacing w:after="0"/>
              <w:rPr>
                <w:sz w:val="22"/>
                <w:szCs w:val="22"/>
                <w:color w:val="auto"/>
              </w:rPr>
            </w:pPr>
          </w:p>
        </w:tc>
      </w:tr>
      <w:tr>
        <w:trPr>
          <w:trHeight w:val="263"/>
        </w:trPr>
        <w:tc>
          <w:tcPr>
            <w:tcW w:w="2940" w:type="dxa"/>
            <w:vAlign w:val="bottom"/>
            <w:gridSpan w:val="2"/>
          </w:tcPr>
          <w:p>
            <w:pPr>
              <w:ind w:left="180"/>
              <w:spacing w:after="0"/>
              <w:rPr>
                <w:sz w:val="20"/>
                <w:szCs w:val="20"/>
                <w:color w:val="auto"/>
              </w:rPr>
            </w:pPr>
            <w:r>
              <w:rPr>
                <w:rFonts w:ascii="Arial" w:cs="Arial" w:eastAsia="Arial" w:hAnsi="Arial"/>
                <w:sz w:val="18"/>
                <w:szCs w:val="18"/>
                <w:color w:val="auto"/>
              </w:rPr>
              <w:t>Dividend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7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22"/>
                <w:szCs w:val="22"/>
                <w:color w:val="auto"/>
              </w:rPr>
            </w:pPr>
          </w:p>
        </w:tc>
      </w:tr>
      <w:tr>
        <w:trPr>
          <w:trHeight w:val="257"/>
        </w:trPr>
        <w:tc>
          <w:tcPr>
            <w:tcW w:w="29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investment income</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55,139,136</w:t>
            </w: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20,756,054</w:t>
            </w:r>
          </w:p>
        </w:tc>
        <w:tc>
          <w:tcPr>
            <w:tcW w:w="2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3,189,839</w:t>
            </w:r>
          </w:p>
        </w:tc>
        <w:tc>
          <w:tcPr>
            <w:tcW w:w="2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22"/>
                <w:szCs w:val="22"/>
                <w:color w:val="auto"/>
              </w:rPr>
            </w:pPr>
          </w:p>
        </w:tc>
      </w:tr>
      <w:tr>
        <w:trPr>
          <w:trHeight w:val="36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Management fees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5,105,009</w:t>
            </w:r>
          </w:p>
        </w:tc>
        <w:tc>
          <w:tcPr>
            <w:tcW w:w="2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4,812,500</w:t>
            </w:r>
          </w:p>
        </w:tc>
        <w:tc>
          <w:tcPr>
            <w:tcW w:w="2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3,587,314</w:t>
            </w:r>
          </w:p>
        </w:tc>
        <w:tc>
          <w:tcPr>
            <w:tcW w:w="22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22"/>
                <w:szCs w:val="22"/>
                <w:color w:val="auto"/>
              </w:rPr>
            </w:pPr>
          </w:p>
        </w:tc>
      </w:tr>
      <w:tr>
        <w:trPr>
          <w:trHeight w:val="257"/>
        </w:trPr>
        <w:tc>
          <w:tcPr>
            <w:tcW w:w="2940" w:type="dxa"/>
            <w:vAlign w:val="bottom"/>
            <w:gridSpan w:val="2"/>
          </w:tcPr>
          <w:p>
            <w:pPr>
              <w:ind w:left="180"/>
              <w:spacing w:after="0"/>
              <w:rPr>
                <w:sz w:val="20"/>
                <w:szCs w:val="20"/>
                <w:color w:val="auto"/>
              </w:rPr>
            </w:pPr>
            <w:r>
              <w:rPr>
                <w:rFonts w:ascii="Arial" w:cs="Arial" w:eastAsia="Arial" w:hAnsi="Arial"/>
                <w:sz w:val="18"/>
                <w:szCs w:val="18"/>
                <w:color w:val="auto"/>
              </w:rPr>
              <w:t>Incentive fees</w:t>
            </w:r>
          </w:p>
        </w:tc>
        <w:tc>
          <w:tcPr>
            <w:tcW w:w="900" w:type="dxa"/>
            <w:vAlign w:val="bottom"/>
          </w:tcPr>
          <w:p>
            <w:pPr>
              <w:jc w:val="right"/>
              <w:spacing w:after="0"/>
              <w:rPr>
                <w:sz w:val="20"/>
                <w:szCs w:val="20"/>
                <w:color w:val="auto"/>
              </w:rPr>
            </w:pPr>
            <w:r>
              <w:rPr>
                <w:rFonts w:ascii="Arial" w:cs="Arial" w:eastAsia="Arial" w:hAnsi="Arial"/>
                <w:sz w:val="18"/>
                <w:szCs w:val="18"/>
                <w:color w:val="auto"/>
              </w:rPr>
              <w:t>8,349,449</w:t>
            </w:r>
          </w:p>
        </w:tc>
        <w:tc>
          <w:tcPr>
            <w:tcW w:w="20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1,411,324</w:t>
            </w:r>
          </w:p>
        </w:tc>
        <w:tc>
          <w:tcPr>
            <w:tcW w:w="20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1,186,466</w:t>
            </w:r>
          </w:p>
        </w:tc>
        <w:tc>
          <w:tcPr>
            <w:tcW w:w="2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532,732</w:t>
            </w:r>
          </w:p>
        </w:tc>
        <w:tc>
          <w:tcPr>
            <w:tcW w:w="2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r>
      <w:tr>
        <w:trPr>
          <w:trHeight w:val="270"/>
        </w:trPr>
        <w:tc>
          <w:tcPr>
            <w:tcW w:w="2940" w:type="dxa"/>
            <w:vAlign w:val="bottom"/>
            <w:gridSpan w:val="2"/>
          </w:tcPr>
          <w:p>
            <w:pPr>
              <w:ind w:left="180"/>
              <w:spacing w:after="0"/>
              <w:rPr>
                <w:sz w:val="20"/>
                <w:szCs w:val="20"/>
                <w:color w:val="auto"/>
              </w:rPr>
            </w:pPr>
            <w:r>
              <w:rPr>
                <w:rFonts w:ascii="Arial" w:cs="Arial" w:eastAsia="Arial" w:hAnsi="Arial"/>
                <w:sz w:val="18"/>
                <w:szCs w:val="18"/>
                <w:color w:val="auto"/>
              </w:rPr>
              <w:t>Professional fees</w:t>
            </w:r>
          </w:p>
        </w:tc>
        <w:tc>
          <w:tcPr>
            <w:tcW w:w="900" w:type="dxa"/>
            <w:vAlign w:val="bottom"/>
          </w:tcPr>
          <w:p>
            <w:pPr>
              <w:jc w:val="right"/>
              <w:spacing w:after="0"/>
              <w:rPr>
                <w:sz w:val="20"/>
                <w:szCs w:val="20"/>
                <w:color w:val="auto"/>
              </w:rPr>
            </w:pPr>
            <w:r>
              <w:rPr>
                <w:rFonts w:ascii="Arial" w:cs="Arial" w:eastAsia="Arial" w:hAnsi="Arial"/>
                <w:sz w:val="18"/>
                <w:szCs w:val="18"/>
                <w:color w:val="auto"/>
              </w:rPr>
              <w:t>975,688</w:t>
            </w:r>
          </w:p>
        </w:tc>
        <w:tc>
          <w:tcPr>
            <w:tcW w:w="20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700,019</w:t>
            </w:r>
          </w:p>
        </w:tc>
        <w:tc>
          <w:tcPr>
            <w:tcW w:w="20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544,002</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0.19</w:t>
            </w:r>
          </w:p>
        </w:tc>
        <w:tc>
          <w:tcPr>
            <w:tcW w:w="40" w:type="dxa"/>
            <w:vAlign w:val="bottom"/>
          </w:tcPr>
          <w:p>
            <w:pPr>
              <w:spacing w:after="0"/>
              <w:rPr>
                <w:sz w:val="23"/>
                <w:szCs w:val="23"/>
                <w:color w:val="auto"/>
              </w:rPr>
            </w:pPr>
          </w:p>
        </w:tc>
      </w:tr>
      <w:tr>
        <w:trPr>
          <w:trHeight w:val="270"/>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Overhead allocation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855,889</w:t>
            </w:r>
          </w:p>
        </w:tc>
        <w:tc>
          <w:tcPr>
            <w:tcW w:w="2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454,337</w:t>
            </w:r>
          </w:p>
        </w:tc>
        <w:tc>
          <w:tcPr>
            <w:tcW w:w="2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313,147</w:t>
            </w:r>
          </w:p>
        </w:tc>
        <w:tc>
          <w:tcPr>
            <w:tcW w:w="22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0" w:type="dxa"/>
            <w:vAlign w:val="bottom"/>
          </w:tcPr>
          <w:p>
            <w:pPr>
              <w:spacing w:after="0"/>
              <w:rPr>
                <w:sz w:val="23"/>
                <w:szCs w:val="23"/>
                <w:color w:val="auto"/>
              </w:rPr>
            </w:pPr>
          </w:p>
        </w:tc>
      </w:tr>
      <w:tr>
        <w:trPr>
          <w:trHeight w:val="270"/>
        </w:trPr>
        <w:tc>
          <w:tcPr>
            <w:tcW w:w="2940" w:type="dxa"/>
            <w:vAlign w:val="bottom"/>
            <w:gridSpan w:val="2"/>
          </w:tcPr>
          <w:p>
            <w:pPr>
              <w:ind w:left="180"/>
              <w:spacing w:after="0"/>
              <w:rPr>
                <w:sz w:val="20"/>
                <w:szCs w:val="20"/>
                <w:color w:val="auto"/>
              </w:rPr>
            </w:pPr>
            <w:r>
              <w:rPr>
                <w:rFonts w:ascii="Arial" w:cs="Arial" w:eastAsia="Arial" w:hAnsi="Arial"/>
                <w:sz w:val="18"/>
                <w:szCs w:val="18"/>
                <w:color w:val="auto"/>
              </w:rPr>
              <w:t>Administration fees</w:t>
            </w:r>
          </w:p>
        </w:tc>
        <w:tc>
          <w:tcPr>
            <w:tcW w:w="900" w:type="dxa"/>
            <w:vAlign w:val="bottom"/>
          </w:tcPr>
          <w:p>
            <w:pPr>
              <w:jc w:val="right"/>
              <w:spacing w:after="0"/>
              <w:rPr>
                <w:sz w:val="20"/>
                <w:szCs w:val="20"/>
                <w:color w:val="auto"/>
              </w:rPr>
            </w:pPr>
            <w:r>
              <w:rPr>
                <w:rFonts w:ascii="Arial" w:cs="Arial" w:eastAsia="Arial" w:hAnsi="Arial"/>
                <w:sz w:val="18"/>
                <w:szCs w:val="18"/>
                <w:color w:val="auto"/>
              </w:rPr>
              <w:t>490,022</w:t>
            </w:r>
          </w:p>
        </w:tc>
        <w:tc>
          <w:tcPr>
            <w:tcW w:w="20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209,761</w:t>
            </w:r>
          </w:p>
        </w:tc>
        <w:tc>
          <w:tcPr>
            <w:tcW w:w="20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23"/>
                <w:szCs w:val="23"/>
                <w:color w:val="auto"/>
              </w:rPr>
            </w:pPr>
          </w:p>
        </w:tc>
      </w:tr>
      <w:tr>
        <w:trPr>
          <w:trHeight w:val="270"/>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Credit facility fees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478,731</w:t>
            </w:r>
          </w:p>
        </w:tc>
        <w:tc>
          <w:tcPr>
            <w:tcW w:w="2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7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r>
      <w:tr>
        <w:trPr>
          <w:trHeight w:val="270"/>
        </w:trPr>
        <w:tc>
          <w:tcPr>
            <w:tcW w:w="2940" w:type="dxa"/>
            <w:vAlign w:val="bottom"/>
            <w:gridSpan w:val="2"/>
          </w:tcPr>
          <w:p>
            <w:pPr>
              <w:ind w:left="180"/>
              <w:spacing w:after="0"/>
              <w:rPr>
                <w:sz w:val="20"/>
                <w:szCs w:val="20"/>
                <w:color w:val="auto"/>
              </w:rPr>
            </w:pPr>
            <w:r>
              <w:rPr>
                <w:rFonts w:ascii="Arial" w:cs="Arial" w:eastAsia="Arial" w:hAnsi="Arial"/>
                <w:sz w:val="18"/>
                <w:szCs w:val="18"/>
                <w:color w:val="auto"/>
              </w:rPr>
              <w:t>Directors’ fees</w:t>
            </w:r>
          </w:p>
        </w:tc>
        <w:tc>
          <w:tcPr>
            <w:tcW w:w="900" w:type="dxa"/>
            <w:vAlign w:val="bottom"/>
          </w:tcPr>
          <w:p>
            <w:pPr>
              <w:jc w:val="right"/>
              <w:spacing w:after="0"/>
              <w:rPr>
                <w:sz w:val="20"/>
                <w:szCs w:val="20"/>
                <w:color w:val="auto"/>
              </w:rPr>
            </w:pPr>
            <w:r>
              <w:rPr>
                <w:rFonts w:ascii="Arial" w:cs="Arial" w:eastAsia="Arial" w:hAnsi="Arial"/>
                <w:sz w:val="18"/>
                <w:szCs w:val="18"/>
                <w:color w:val="auto"/>
              </w:rPr>
              <w:t>222,154</w:t>
            </w:r>
          </w:p>
        </w:tc>
        <w:tc>
          <w:tcPr>
            <w:tcW w:w="20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208,000</w:t>
            </w:r>
          </w:p>
        </w:tc>
        <w:tc>
          <w:tcPr>
            <w:tcW w:w="20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206,500</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40" w:type="dxa"/>
            <w:vAlign w:val="bottom"/>
          </w:tcPr>
          <w:p>
            <w:pPr>
              <w:spacing w:after="0"/>
              <w:rPr>
                <w:sz w:val="23"/>
                <w:szCs w:val="23"/>
                <w:color w:val="auto"/>
              </w:rPr>
            </w:pPr>
          </w:p>
        </w:tc>
      </w:tr>
      <w:tr>
        <w:trPr>
          <w:trHeight w:val="270"/>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Consulting fees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110,328</w:t>
            </w:r>
          </w:p>
        </w:tc>
        <w:tc>
          <w:tcPr>
            <w:tcW w:w="2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66,933</w:t>
            </w:r>
          </w:p>
        </w:tc>
        <w:tc>
          <w:tcPr>
            <w:tcW w:w="2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49,650</w:t>
            </w:r>
          </w:p>
        </w:tc>
        <w:tc>
          <w:tcPr>
            <w:tcW w:w="22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23"/>
                <w:szCs w:val="23"/>
                <w:color w:val="auto"/>
              </w:rPr>
            </w:pPr>
          </w:p>
        </w:tc>
      </w:tr>
      <w:tr>
        <w:trPr>
          <w:trHeight w:val="270"/>
        </w:trPr>
        <w:tc>
          <w:tcPr>
            <w:tcW w:w="2940" w:type="dxa"/>
            <w:vAlign w:val="bottom"/>
            <w:gridSpan w:val="2"/>
          </w:tcPr>
          <w:p>
            <w:pPr>
              <w:ind w:left="180"/>
              <w:spacing w:after="0"/>
              <w:rPr>
                <w:sz w:val="20"/>
                <w:szCs w:val="20"/>
                <w:color w:val="auto"/>
              </w:rPr>
            </w:pPr>
            <w:r>
              <w:rPr>
                <w:rFonts w:ascii="Arial" w:cs="Arial" w:eastAsia="Arial" w:hAnsi="Arial"/>
                <w:sz w:val="18"/>
                <w:szCs w:val="18"/>
                <w:color w:val="auto"/>
              </w:rPr>
              <w:t>Tax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99,549</w:t>
            </w:r>
          </w:p>
        </w:tc>
        <w:tc>
          <w:tcPr>
            <w:tcW w:w="20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186,782</w:t>
            </w:r>
          </w:p>
        </w:tc>
        <w:tc>
          <w:tcPr>
            <w:tcW w:w="20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3,414</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23"/>
                <w:szCs w:val="23"/>
                <w:color w:val="auto"/>
              </w:rPr>
            </w:pPr>
          </w:p>
        </w:tc>
      </w:tr>
      <w:tr>
        <w:trPr>
          <w:trHeight w:val="270"/>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Insurance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96,296</w:t>
            </w:r>
          </w:p>
        </w:tc>
        <w:tc>
          <w:tcPr>
            <w:tcW w:w="2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96,062</w:t>
            </w:r>
          </w:p>
        </w:tc>
        <w:tc>
          <w:tcPr>
            <w:tcW w:w="2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89,092</w:t>
            </w:r>
          </w:p>
        </w:tc>
        <w:tc>
          <w:tcPr>
            <w:tcW w:w="22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0" w:type="dxa"/>
            <w:vAlign w:val="bottom"/>
          </w:tcPr>
          <w:p>
            <w:pPr>
              <w:spacing w:after="0"/>
              <w:rPr>
                <w:sz w:val="23"/>
                <w:szCs w:val="23"/>
                <w:color w:val="auto"/>
              </w:rPr>
            </w:pPr>
          </w:p>
        </w:tc>
      </w:tr>
      <w:tr>
        <w:trPr>
          <w:trHeight w:val="242"/>
        </w:trPr>
        <w:tc>
          <w:tcPr>
            <w:tcW w:w="294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2940" w:type="dxa"/>
            <w:vAlign w:val="bottom"/>
            <w:gridSpan w:val="2"/>
          </w:tcPr>
          <w:p>
            <w:pPr>
              <w:ind w:left="360"/>
              <w:spacing w:after="0"/>
              <w:rPr>
                <w:sz w:val="20"/>
                <w:szCs w:val="20"/>
                <w:color w:val="auto"/>
              </w:rPr>
            </w:pPr>
            <w:r>
              <w:rPr>
                <w:rFonts w:ascii="Arial" w:cs="Arial" w:eastAsia="Arial" w:hAnsi="Arial"/>
                <w:sz w:val="18"/>
                <w:szCs w:val="18"/>
                <w:color w:val="auto"/>
              </w:rPr>
              <w:t>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26,264</w:t>
            </w:r>
          </w:p>
        </w:tc>
        <w:tc>
          <w:tcPr>
            <w:tcW w:w="2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101,984</w:t>
            </w:r>
          </w:p>
        </w:tc>
        <w:tc>
          <w:tcPr>
            <w:tcW w:w="20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41,900</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20"/>
                <w:szCs w:val="20"/>
                <w:color w:val="auto"/>
              </w:rPr>
            </w:pPr>
          </w:p>
        </w:tc>
      </w:tr>
      <w:tr>
        <w:trPr>
          <w:trHeight w:val="284"/>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689,460</w:t>
            </w: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269,203</w:t>
            </w:r>
          </w:p>
        </w:tc>
        <w:tc>
          <w:tcPr>
            <w:tcW w:w="2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71,366</w:t>
            </w: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24"/>
                <w:szCs w:val="24"/>
                <w:color w:val="auto"/>
              </w:rPr>
            </w:pPr>
          </w:p>
        </w:tc>
      </w:tr>
      <w:tr>
        <w:trPr>
          <w:trHeight w:val="270"/>
        </w:trPr>
        <w:tc>
          <w:tcPr>
            <w:tcW w:w="29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18,685,305</w:t>
            </w:r>
          </w:p>
        </w:tc>
        <w:tc>
          <w:tcPr>
            <w:tcW w:w="20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9,049,637</w:t>
            </w:r>
          </w:p>
        </w:tc>
        <w:tc>
          <w:tcPr>
            <w:tcW w:w="20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0.97</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5,031,385</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23"/>
                <w:szCs w:val="23"/>
                <w:color w:val="auto"/>
              </w:rPr>
            </w:pPr>
          </w:p>
        </w:tc>
      </w:tr>
      <w:tr>
        <w:trPr>
          <w:trHeight w:val="270"/>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investment income (loss)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36,453,831</w:t>
            </w:r>
          </w:p>
        </w:tc>
        <w:tc>
          <w:tcPr>
            <w:tcW w:w="2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11,706,417</w:t>
            </w:r>
          </w:p>
        </w:tc>
        <w:tc>
          <w:tcPr>
            <w:tcW w:w="2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(1,841,546)</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(0.66)</w:t>
            </w:r>
          </w:p>
        </w:tc>
        <w:tc>
          <w:tcPr>
            <w:tcW w:w="40" w:type="dxa"/>
            <w:vAlign w:val="bottom"/>
          </w:tcPr>
          <w:p>
            <w:pPr>
              <w:spacing w:after="0"/>
              <w:rPr>
                <w:sz w:val="23"/>
                <w:szCs w:val="23"/>
                <w:color w:val="auto"/>
              </w:rPr>
            </w:pPr>
          </w:p>
        </w:tc>
      </w:tr>
      <w:tr>
        <w:trPr>
          <w:trHeight w:val="270"/>
        </w:trPr>
        <w:tc>
          <w:tcPr>
            <w:tcW w:w="2940" w:type="dxa"/>
            <w:vAlign w:val="bottom"/>
            <w:gridSpan w:val="2"/>
          </w:tcPr>
          <w:p>
            <w:pPr>
              <w:spacing w:after="0"/>
              <w:rPr>
                <w:sz w:val="20"/>
                <w:szCs w:val="20"/>
                <w:color w:val="auto"/>
              </w:rPr>
            </w:pPr>
            <w:r>
              <w:rPr>
                <w:rFonts w:ascii="Arial" w:cs="Arial" w:eastAsia="Arial" w:hAnsi="Arial"/>
                <w:sz w:val="18"/>
                <w:szCs w:val="18"/>
                <w:color w:val="auto"/>
              </w:rPr>
              <w:t>Realized gain on investments</w:t>
            </w:r>
          </w:p>
        </w:tc>
        <w:tc>
          <w:tcPr>
            <w:tcW w:w="900" w:type="dxa"/>
            <w:vAlign w:val="bottom"/>
          </w:tcPr>
          <w:p>
            <w:pPr>
              <w:jc w:val="right"/>
              <w:spacing w:after="0"/>
              <w:rPr>
                <w:sz w:val="20"/>
                <w:szCs w:val="20"/>
                <w:color w:val="auto"/>
              </w:rPr>
            </w:pPr>
            <w:r>
              <w:rPr>
                <w:rFonts w:ascii="Arial" w:cs="Arial" w:eastAsia="Arial" w:hAnsi="Arial"/>
                <w:sz w:val="18"/>
                <w:szCs w:val="18"/>
                <w:color w:val="auto"/>
              </w:rPr>
              <w:t>609,031</w:t>
            </w:r>
          </w:p>
        </w:tc>
        <w:tc>
          <w:tcPr>
            <w:tcW w:w="20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59,792</w:t>
            </w:r>
          </w:p>
        </w:tc>
        <w:tc>
          <w:tcPr>
            <w:tcW w:w="20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2"/>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w:t>
            </w: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appreciation (depreciation) on</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44"/>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(9,416,462)</w:t>
            </w:r>
          </w:p>
        </w:tc>
        <w:tc>
          <w:tcPr>
            <w:tcW w:w="7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(0.50)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(8,693)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405,251</w:t>
            </w:r>
          </w:p>
        </w:tc>
        <w:tc>
          <w:tcPr>
            <w:tcW w:w="2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0" w:type="dxa"/>
            <w:vAlign w:val="bottom"/>
          </w:tcPr>
          <w:p>
            <w:pPr>
              <w:spacing w:after="0"/>
              <w:rPr>
                <w:sz w:val="21"/>
                <w:szCs w:val="21"/>
                <w:color w:val="auto"/>
              </w:rPr>
            </w:pPr>
          </w:p>
        </w:tc>
      </w:tr>
      <w:tr>
        <w:trPr>
          <w:trHeight w:val="238"/>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w w:val="92"/>
              </w:rPr>
              <w:t>Net increase (decrease) in net assets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2940" w:type="dxa"/>
            <w:vAlign w:val="bottom"/>
            <w:gridSpan w:val="2"/>
          </w:tcPr>
          <w:p>
            <w:pPr>
              <w:ind w:left="180"/>
              <w:spacing w:after="0"/>
              <w:rPr>
                <w:sz w:val="20"/>
                <w:szCs w:val="20"/>
                <w:color w:val="auto"/>
              </w:rPr>
            </w:pPr>
            <w:r>
              <w:rPr>
                <w:rFonts w:ascii="Arial" w:cs="Arial" w:eastAsia="Arial" w:hAnsi="Arial"/>
                <w:sz w:val="18"/>
                <w:szCs w:val="18"/>
                <w:b w:val="1"/>
                <w:bCs w:val="1"/>
                <w:color w:val="auto"/>
              </w:rPr>
              <w:t>resulting from operations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27,646,400</w:t>
            </w:r>
          </w:p>
        </w:tc>
        <w:tc>
          <w:tcPr>
            <w:tcW w:w="2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11,757,516</w:t>
            </w:r>
          </w:p>
        </w:tc>
        <w:tc>
          <w:tcPr>
            <w:tcW w:w="20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(1,436,295)</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-1268095</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-4028440</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-4028440</wp:posOffset>
            </wp:positionV>
            <wp:extent cx="1454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-4028440</wp:posOffset>
            </wp:positionV>
            <wp:extent cx="1714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-4028440</wp:posOffset>
            </wp:positionV>
            <wp:extent cx="1631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-4028440</wp:posOffset>
            </wp:positionV>
            <wp:extent cx="1543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-4028440</wp:posOffset>
            </wp:positionV>
            <wp:extent cx="25717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-4697095</wp:posOffset>
            </wp:positionV>
            <wp:extent cx="137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-4697095</wp:posOffset>
            </wp:positionV>
            <wp:extent cx="137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-4697095</wp:posOffset>
            </wp:positionV>
            <wp:extent cx="137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-4697095</wp:posOffset>
            </wp:positionV>
            <wp:extent cx="137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-4697095</wp:posOffset>
            </wp:positionV>
            <wp:extent cx="25628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28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71" w:lineRule="exact"/>
        <w:rPr>
          <w:sz w:val="20"/>
          <w:szCs w:val="20"/>
          <w:color w:val="auto"/>
        </w:rPr>
      </w:pPr>
    </w:p>
    <w:p>
      <w:pPr>
        <w:ind w:left="1620" w:right="679" w:hanging="358"/>
        <w:spacing w:after="0" w:line="342" w:lineRule="auto"/>
        <w:tabs>
          <w:tab w:leader="none" w:pos="1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basic per share figures noted above are based on weighted averages of 18,701,021, 9,300,960, and 2,795,274 shares outstanding for the years ended December 31, 2019, 2018, and 2017, respectively.</w:t>
      </w:r>
    </w:p>
    <w:p>
      <w:pPr>
        <w:spacing w:after="0" w:line="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44"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7"/>
          <w:szCs w:val="17"/>
          <w:color w:val="auto"/>
        </w:rPr>
        <w:t>Our investment objective is to maximize our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senior secured and second lien secured loans that generally fall into two strategies: Sponsored Growth Lending and Non-Sponsored Growth Lending. Our Sponsored Growth Lending also typically includes the receipt of warrants and/or other equity from venture-backed companies. We expect our investments in loans will generally range from between $5.0 million to $50.0 million, and the upper end of this range may increase as we raise additional capital.</w:t>
      </w:r>
    </w:p>
    <w:p>
      <w:pPr>
        <w:spacing w:after="0" w:line="86" w:lineRule="exact"/>
        <w:rPr>
          <w:sz w:val="20"/>
          <w:szCs w:val="20"/>
          <w:color w:val="auto"/>
        </w:rPr>
      </w:pPr>
    </w:p>
    <w:p>
      <w:pPr>
        <w:jc w:val="both"/>
        <w:ind w:left="1260" w:right="679" w:firstLine="360"/>
        <w:spacing w:after="0" w:line="324" w:lineRule="auto"/>
        <w:rPr>
          <w:sz w:val="20"/>
          <w:szCs w:val="20"/>
          <w:color w:val="auto"/>
        </w:rPr>
      </w:pPr>
      <w:r>
        <w:rPr>
          <w:rFonts w:ascii="Arial" w:cs="Arial" w:eastAsia="Arial" w:hAnsi="Arial"/>
          <w:sz w:val="16"/>
          <w:szCs w:val="16"/>
          <w:color w:val="auto"/>
        </w:rPr>
        <w:t>We generate revenue in the form of interest on the debt securities that we hold and distributions and capital gains on other interests that we acquire in our portfolio companies. We expect that the debt we invest in</w:t>
      </w:r>
    </w:p>
    <w:p>
      <w:pPr>
        <w:sectPr>
          <w:pgSz w:w="11900" w:h="16838" w:orient="portrait"/>
          <w:cols w:equalWidth="0" w:num="1">
            <w:col w:w="10139"/>
          </w:cols>
          <w:pgMar w:left="320" w:top="132" w:right="1440" w:bottom="1440" w:gutter="0" w:footer="0" w:header="0"/>
        </w:sectPr>
      </w:pPr>
    </w:p>
    <w:p>
      <w:pPr>
        <w:spacing w:after="0" w:line="31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59"/>
        <w:spacing w:after="0" w:line="254" w:lineRule="auto"/>
        <w:rPr>
          <w:sz w:val="20"/>
          <w:szCs w:val="20"/>
          <w:color w:val="auto"/>
        </w:rPr>
      </w:pPr>
      <w:r>
        <w:rPr>
          <w:rFonts w:ascii="Arial" w:cs="Arial" w:eastAsia="Arial" w:hAnsi="Arial"/>
          <w:sz w:val="17"/>
          <w:szCs w:val="17"/>
          <w:color w:val="auto"/>
        </w:rPr>
        <w:t>will generally have stated terms of 36 to 60 months. Interest on debt securities is generally payable quarterly or semiannually. In some cases, some of our investments may provide for deferred interest payments or PIK interest. The principal amount of the debt securities and any accrued but unpaid interest generally will become due at the maturity date. In addition, we may generate revenue in the form of commitment and other fees in connection with transactions. Original issue discounts and market discounts or premiums will be capitalized, and we will accrete or amortize such amounts as interest income. We will record prepayment premiums on loans and debt securities as interest income. Dividend income, if any, will be recognized on an accrual basis to the extent that we expect to collect such amounts.</w:t>
      </w:r>
    </w:p>
    <w:p>
      <w:pPr>
        <w:spacing w:after="0" w:line="100" w:lineRule="exact"/>
        <w:rPr>
          <w:sz w:val="20"/>
          <w:szCs w:val="20"/>
          <w:color w:val="auto"/>
        </w:rPr>
      </w:pPr>
    </w:p>
    <w:p>
      <w:pPr>
        <w:jc w:val="both"/>
        <w:ind w:left="1260" w:right="679" w:firstLine="360"/>
        <w:spacing w:after="0" w:line="276" w:lineRule="auto"/>
        <w:rPr>
          <w:sz w:val="20"/>
          <w:szCs w:val="20"/>
          <w:color w:val="auto"/>
        </w:rPr>
      </w:pPr>
      <w:r>
        <w:rPr>
          <w:rFonts w:ascii="Arial" w:cs="Arial" w:eastAsia="Arial" w:hAnsi="Arial"/>
          <w:sz w:val="16"/>
          <w:szCs w:val="16"/>
          <w:color w:val="auto"/>
        </w:rPr>
        <w:t>Investment income for the years ended December 31, 2019, 2018, and 2017 was $55,139,136, $20,756,054, and $3,189,839, respectively, due primarily to interest income earned on our portfolio investments. The increase in interest income for the year ended December 31, 2019 from the year ended December 31, 2018, and for the year ended December 31, 2018 from the year ended December 31, 2017 was driven by our deployment of capital and increasing invested balance. Investment income further increased due to prepayments and end of term payments received during the years ended December 31, 2019 and December 31, 2018.</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jc w:val="both"/>
        <w:ind w:left="1260" w:right="679" w:firstLine="360"/>
        <w:spacing w:after="0" w:line="243" w:lineRule="auto"/>
        <w:rPr>
          <w:sz w:val="20"/>
          <w:szCs w:val="20"/>
          <w:color w:val="auto"/>
        </w:rPr>
      </w:pPr>
      <w:r>
        <w:rPr>
          <w:rFonts w:ascii="Arial" w:cs="Arial" w:eastAsia="Arial" w:hAnsi="Arial"/>
          <w:sz w:val="18"/>
          <w:szCs w:val="18"/>
          <w:color w:val="auto"/>
        </w:rPr>
        <w:t>Our primary operating expenses include the payment of fees to RGC under the Amended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80" w:lineRule="exact"/>
        <w:rPr>
          <w:sz w:val="20"/>
          <w:szCs w:val="20"/>
          <w:color w:val="auto"/>
        </w:rPr>
      </w:pPr>
    </w:p>
    <w:p>
      <w:pPr>
        <w:ind w:left="1800" w:right="679" w:hanging="178"/>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organization and offering (the amount of organizational and offering expenses in connection with the Initial Private Offering in excess of $1,000,000 were previously paid by RGC);</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pro-rata portion of fees and expenses related to any future spin-off transaction;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calculating our net asset value (including the cost and expenses of any independent valuation firm);</w:t>
      </w:r>
    </w:p>
    <w:p>
      <w:pPr>
        <w:spacing w:after="0" w:line="115" w:lineRule="exact"/>
        <w:rPr>
          <w:rFonts w:ascii="Arial" w:cs="Arial" w:eastAsia="Arial" w:hAnsi="Arial"/>
          <w:sz w:val="17"/>
          <w:szCs w:val="17"/>
          <w:color w:val="auto"/>
        </w:rPr>
      </w:pPr>
    </w:p>
    <w:p>
      <w:pPr>
        <w:jc w:val="both"/>
        <w:ind w:left="1800" w:right="679" w:hanging="178"/>
        <w:spacing w:after="0" w:line="259"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78" w:lineRule="exact"/>
        <w:rPr>
          <w:rFonts w:ascii="Arial" w:cs="Arial" w:eastAsia="Arial" w:hAnsi="Arial"/>
          <w:sz w:val="18"/>
          <w:szCs w:val="18"/>
          <w:color w:val="auto"/>
        </w:rPr>
      </w:pPr>
    </w:p>
    <w:p>
      <w:pPr>
        <w:ind w:left="1800" w:hanging="178"/>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17"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the Financial Industry Regulatory Authority or other regulators;</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costs;</w:t>
      </w:r>
    </w:p>
    <w:p>
      <w:pPr>
        <w:spacing w:after="0" w:line="117"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 errors and omissions liability insurance, and any other insurance premiums;</w:t>
      </w:r>
    </w:p>
    <w:p>
      <w:pPr>
        <w:spacing w:after="0" w:line="62"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62" w:lineRule="exact"/>
        <w:rPr>
          <w:rFonts w:ascii="Arial" w:cs="Arial" w:eastAsia="Arial" w:hAnsi="Arial"/>
          <w:sz w:val="18"/>
          <w:szCs w:val="18"/>
          <w:color w:val="auto"/>
        </w:rPr>
      </w:pPr>
    </w:p>
    <w:p>
      <w:pPr>
        <w:ind w:left="1800" w:right="679" w:hanging="178"/>
        <w:spacing w:after="0" w:line="308" w:lineRule="auto"/>
        <w:tabs>
          <w:tab w:leader="none" w:pos="1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other expenses incurred by us, our Administrator or RGC in connection with administering our business, including payments under the Administration Agreement based on our allocable portion of</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679"/>
        <w:spacing w:after="0" w:line="263" w:lineRule="auto"/>
        <w:rPr>
          <w:sz w:val="20"/>
          <w:szCs w:val="20"/>
          <w:color w:val="auto"/>
        </w:rPr>
      </w:pPr>
      <w:r>
        <w:rPr>
          <w:rFonts w:ascii="Arial" w:cs="Arial" w:eastAsia="Arial" w:hAnsi="Arial"/>
          <w:sz w:val="18"/>
          <w:szCs w:val="18"/>
          <w:color w:val="auto"/>
        </w:rPr>
        <w:t>our Administrator’s overhead in performing its obligations under the Administration Agreement, including rent and the allocable portion of the cost of our Chief Compliance Officer and Chief Financial Officer and their respective staffs.</w:t>
      </w:r>
    </w:p>
    <w:p>
      <w:pPr>
        <w:spacing w:after="0" w:line="103"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6"/>
          <w:szCs w:val="16"/>
          <w:color w:val="auto"/>
        </w:rPr>
        <w:t>Operating expenses for the years ended December 31, 2019, 2018 and 2017 were $18,685,305, $9,049,637 and $5,031,385, respectively. Operating expenses increased for the year ended December 31, 2019 from the year ended December 31, 2018 primarily due to increased management fees and incentive fees paid to RGC, overhead allocation expense, consulting fees, directors’ fees, interest expense, administration fees, and other expenses. Operating expenses increased for the year ended December 31, 2018 from the year ended December 31, 2017 primarily due to increased management fees and incentive fees paid to RGC, overhead allocation expense, interest expense, administration fees, and tax expense. Incentive fees for the years ended December 31. 2019 and December 31, 2018 increased primarily due to the increase in investment income. Refer to the discussion below for further detail. The increases in management fees were driven by our deployment of capital and increasing invested balance. The increase in interest expense was a result of an increase in borrowings under our Credit Facilities to fund investments. The increase in overhead allocation expense was driven by allocation of RGC personnel, time, and resources utilized on fund activity. Operating expenses per share for the years ended December 31, 2019, 2018 and 2017 were $1.00 per share, $0.97 per share and $1.80 per share, respectively.</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Incentive Fees</w:t>
      </w:r>
    </w:p>
    <w:p>
      <w:pPr>
        <w:spacing w:after="0" w:line="158" w:lineRule="exact"/>
        <w:rPr>
          <w:sz w:val="20"/>
          <w:szCs w:val="20"/>
          <w:color w:val="auto"/>
        </w:rPr>
      </w:pPr>
    </w:p>
    <w:p>
      <w:pPr>
        <w:jc w:val="both"/>
        <w:ind w:left="1260" w:right="659" w:firstLine="360"/>
        <w:spacing w:after="0" w:line="268" w:lineRule="auto"/>
        <w:rPr>
          <w:sz w:val="20"/>
          <w:szCs w:val="20"/>
          <w:color w:val="auto"/>
        </w:rPr>
      </w:pPr>
      <w:r>
        <w:rPr>
          <w:rFonts w:ascii="Arial" w:cs="Arial" w:eastAsia="Arial" w:hAnsi="Arial"/>
          <w:sz w:val="17"/>
          <w:szCs w:val="17"/>
          <w:color w:val="auto"/>
        </w:rPr>
        <w:t>Incentive fees for the years ended December 31, 2019 and December 31, 2018 were $8,349,449 and $1,411,324, respectively, due primarily to the increase in investment income. $1,691,311 of the incentive fees for the year ended December 31, 2019 were earned, payable in cash, and included in accrued incentive fees in the statement of assets and liabilities as of December 31, 2019. $1,891,676 of the incentive fees for the year ended December 31, 2019 were deferred and accrued, and included in accrued incentive fees in the statement of assets and liabilities as of December 31, 2019. $711,868 of the incentive fees for the year ended December 31, 2018 were earned, payable in cash, and included in accrued incentive fees in the statement of assets and liabilities as of December 31, 2018. $359,698 of the incentive fees for the year ended December 31, 2018 were deferred and accrued, and included in accrued incentive fees in the statement of assets and liabilities as of December 31, 2018. Incentive fees related to paid-in-kind or deferred interest are accrued and payment is deferred until such interest is collected in cash. Incentive fees per share for the years ended December 31, 2019 and December 31, 2018 were $0.45 per share, and $0.15 per share, respectively. We had no incentive fees for the year ended December 31, 2017.</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Investment Income (Loss)</w:t>
      </w:r>
    </w:p>
    <w:p>
      <w:pPr>
        <w:spacing w:after="0" w:line="158" w:lineRule="exact"/>
        <w:rPr>
          <w:sz w:val="20"/>
          <w:szCs w:val="20"/>
          <w:color w:val="auto"/>
        </w:rPr>
      </w:pPr>
    </w:p>
    <w:p>
      <w:pPr>
        <w:jc w:val="both"/>
        <w:ind w:left="1260" w:right="679" w:firstLine="360"/>
        <w:spacing w:after="0" w:line="289" w:lineRule="auto"/>
        <w:rPr>
          <w:sz w:val="20"/>
          <w:szCs w:val="20"/>
          <w:color w:val="auto"/>
        </w:rPr>
      </w:pPr>
      <w:r>
        <w:rPr>
          <w:rFonts w:ascii="Arial" w:cs="Arial" w:eastAsia="Arial" w:hAnsi="Arial"/>
          <w:sz w:val="16"/>
          <w:szCs w:val="16"/>
          <w:color w:val="auto"/>
        </w:rPr>
        <w:t>Net investment income (loss) for the years ended December 31, 2019, 2018 and 2017 was $36,453,831, $11,706,417, and $(1,841,546) respectively. Net investment income increased for the year ended December 31, 2019 from the year ended December 31, 2018 primarily due to increased interest income earned on our portfolio investments, partially offset by increased management fees and incentive fees and the other operating expenses discussed above. Net investment income increased for the year ended December 31, 2018 from the year ended December 31, 2017 primarily due to increased interest income earned on our portfolio investments, partially offset by increased management fees and incentive fees and the other operating expenses discussed above. Net investment income (loss) per share for the years ended December 31, 2019, 2018 and 2017 were $1.95 per share, $1.26 per share and $(0.66) per share, respectively.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Realized Gain on Investment</w:t>
      </w:r>
    </w:p>
    <w:p>
      <w:pPr>
        <w:spacing w:after="0" w:line="144" w:lineRule="exact"/>
        <w:rPr>
          <w:sz w:val="20"/>
          <w:szCs w:val="20"/>
          <w:color w:val="auto"/>
        </w:rPr>
      </w:pPr>
    </w:p>
    <w:p>
      <w:pPr>
        <w:jc w:val="both"/>
        <w:ind w:left="1260" w:right="679" w:firstLine="360"/>
        <w:spacing w:after="0" w:line="255" w:lineRule="auto"/>
        <w:rPr>
          <w:sz w:val="20"/>
          <w:szCs w:val="20"/>
          <w:color w:val="auto"/>
        </w:rPr>
      </w:pPr>
      <w:r>
        <w:rPr>
          <w:rFonts w:ascii="Arial" w:cs="Arial" w:eastAsia="Arial" w:hAnsi="Arial"/>
          <w:sz w:val="18"/>
          <w:szCs w:val="18"/>
          <w:color w:val="auto"/>
        </w:rPr>
        <w:t>The net realized gain on investments of $609,031 for the year ended December 31, 2019 was primarily due to the gain on the sale of preferred stock warrant in Drawbridge, Inc. and redemption of warrant for membership interest in Mobius Imagine, LLC, partially offset by a loss our warrants for preferred stock on RedSeal, Inc. The net realized gain on investments of $59,792 for the year ended December 31, 2018 was primarily due to the gain on our warrants for preferred stock of Placecast, Inc. For the year ended December 31, 2017, we had no realized gains or losses on investments.</w:t>
      </w:r>
    </w:p>
    <w:p>
      <w:pPr>
        <w:spacing w:after="0" w:line="38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144" w:lineRule="exact"/>
        <w:rPr>
          <w:sz w:val="20"/>
          <w:szCs w:val="20"/>
          <w:color w:val="auto"/>
        </w:rPr>
      </w:pPr>
    </w:p>
    <w:p>
      <w:pPr>
        <w:jc w:val="both"/>
        <w:ind w:left="1260" w:right="679" w:firstLine="360"/>
        <w:spacing w:after="0" w:line="251" w:lineRule="auto"/>
        <w:rPr>
          <w:sz w:val="20"/>
          <w:szCs w:val="20"/>
          <w:color w:val="auto"/>
        </w:rPr>
      </w:pPr>
      <w:r>
        <w:rPr>
          <w:rFonts w:ascii="Arial" w:cs="Arial" w:eastAsia="Arial" w:hAnsi="Arial"/>
          <w:sz w:val="17"/>
          <w:szCs w:val="17"/>
          <w:color w:val="auto"/>
        </w:rPr>
        <w:t>Net change in unrealized depreciation on investments of $9,416,462 for the year ended December 31, 2019 was primarily due to increases in the fair value of our senior secured loans to eSilicon Corporation and Realwear, Inc., our preferred stock in Aria Systems, Inc. and our warrants for preferred stock of Aria Systems, Inc. and eSilicon Corporation. This increase was offset by the decreased in the fair fvalue of senior secured loans to Aginity, Inc., CareCloud Corporation, and Mojix Inc., and our warrants for common or preferred stock of All Clear ID, Inc., Mojix Inc. and zSpace, Inc. The net change in unrealized depreciation on investments of $8,693 for the year ended December 31, 2018 was primarily due to increases in the fair value of our senior secured loans to AllClear ID, Inc. and eSilicon Corporation, our preferred stock in Aria Systems, Inc. and our warrants for preferred stock of Aria Systems, Inc., eSilicon Corporation, Mojix Inc. and ShareThis, Inc. This increase was partially offset by decreases in the fair value of our senior secured loans to Aginity, Inc., Aria Systems, Inc., CareCloud Corporation, and Mojix Inc., and our warrants for common or preferred stock of AllClear ID, Inc., Aspen Group Inc., Mojix Inc. and SendtoNews Video, Inc. The net change in unrealized appreciation on investments of $405,251 for the year ended December 31, 2017 was primarily due to an increase in the fair value of our warrants for common stock of Aspen Group, Inc.</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Increase (Decrease) in Net Assets Resulting from Operations</w:t>
      </w:r>
    </w:p>
    <w:p>
      <w:pPr>
        <w:spacing w:after="0" w:line="158" w:lineRule="exact"/>
        <w:rPr>
          <w:sz w:val="20"/>
          <w:szCs w:val="20"/>
          <w:color w:val="auto"/>
        </w:rPr>
      </w:pPr>
    </w:p>
    <w:p>
      <w:pPr>
        <w:jc w:val="both"/>
        <w:ind w:left="1260" w:right="679" w:firstLine="360"/>
        <w:spacing w:after="0" w:line="269" w:lineRule="auto"/>
        <w:rPr>
          <w:sz w:val="20"/>
          <w:szCs w:val="20"/>
          <w:color w:val="auto"/>
        </w:rPr>
      </w:pPr>
      <w:r>
        <w:rPr>
          <w:rFonts w:ascii="Arial" w:cs="Arial" w:eastAsia="Arial" w:hAnsi="Arial"/>
          <w:sz w:val="16"/>
          <w:szCs w:val="16"/>
          <w:color w:val="auto"/>
        </w:rPr>
        <w:t>We had a net increase in net assets resulting from operations of $27,646,400 for the year ended December 31, 2019, as compared to a net increase in net assets resulting from operations of $11,757,516 and a net decrease in net assets resulting from operations of $1,436,295 for the years ended December 31, 2018 and December 31, 2017, respectively. The net increase in net assets resulting from operations for the year ended December 31, 2019 from the year ended December 31, 2018 is attributable to increased interest income earned on our portfolio investments and the gain on our warrants for preferred stock or units on Drawbridge, Inc. and Mobius Imagine, LLC. The net increase in net assets resulting from operations for the year ended December 31, 2018 from the year ended December 31, 2017 is attributable to increased interest income earned on our portfolio investments and the gain on our warrants for preferred stock of Placecast, Inc. The net decrease in net assets resulting from operations for the year ended December 31, 2017 was primarily due to management fees and professional fees incurred, partially offset by interest and other income earned from our portfolio investments and the net change in unrealized appreciation related to our warrants for common stock of Aspen Group, Inc.</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62" w:lineRule="exact"/>
        <w:rPr>
          <w:sz w:val="20"/>
          <w:szCs w:val="20"/>
          <w:color w:val="auto"/>
        </w:rPr>
      </w:pPr>
    </w:p>
    <w:p>
      <w:pPr>
        <w:jc w:val="both"/>
        <w:ind w:left="1260" w:right="679" w:firstLine="360"/>
        <w:spacing w:after="0" w:line="238" w:lineRule="auto"/>
        <w:rPr>
          <w:sz w:val="20"/>
          <w:szCs w:val="20"/>
          <w:color w:val="auto"/>
        </w:rPr>
      </w:pPr>
      <w:r>
        <w:rPr>
          <w:rFonts w:ascii="Arial" w:cs="Arial" w:eastAsia="Arial" w:hAnsi="Arial"/>
          <w:sz w:val="18"/>
          <w:szCs w:val="18"/>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Facilities (discussed below). We expect that we may also generate cash from any financing arrangements we may enter into in the future and any future offerings of our equity or debt securities. We may fund a portion of our investments through borrowings from banks and issuances of senior securities. Our primary use of funds is to make investments in eligible portfolio companies, pay our operating expenses and make distributions to holders of our common stock.</w:t>
      </w:r>
    </w:p>
    <w:p>
      <w:pPr>
        <w:spacing w:after="0" w:line="113" w:lineRule="exact"/>
        <w:rPr>
          <w:sz w:val="20"/>
          <w:szCs w:val="20"/>
          <w:color w:val="auto"/>
        </w:rPr>
      </w:pPr>
    </w:p>
    <w:p>
      <w:pPr>
        <w:jc w:val="both"/>
        <w:ind w:left="1260" w:right="679" w:firstLine="360"/>
        <w:spacing w:after="0" w:line="241" w:lineRule="auto"/>
        <w:rPr>
          <w:sz w:val="20"/>
          <w:szCs w:val="20"/>
          <w:color w:val="auto"/>
        </w:rPr>
      </w:pPr>
      <w:r>
        <w:rPr>
          <w:rFonts w:ascii="Arial" w:cs="Arial" w:eastAsia="Arial" w:hAnsi="Arial"/>
          <w:sz w:val="18"/>
          <w:szCs w:val="18"/>
          <w:color w:val="auto"/>
        </w:rPr>
        <w:t>During the year ended December 31, 2019, cash and cash equivalents increased to $45,799,672, from $2,527,474 as of December 31, 2019. This increase was primarily the result of the purchase of investments in portfolio companies for $252,083,775 and U.S. Treasury Bills for $315,836,640 and was partially offset by sales of investments in portfolio companies, the maturity of U.S. Treasury Bills the issuance of common stock, and borrowings under our Credit Facilities.</w:t>
      </w:r>
    </w:p>
    <w:p>
      <w:pPr>
        <w:spacing w:after="0" w:line="122" w:lineRule="exact"/>
        <w:rPr>
          <w:sz w:val="20"/>
          <w:szCs w:val="20"/>
          <w:color w:val="auto"/>
        </w:rPr>
      </w:pPr>
    </w:p>
    <w:p>
      <w:pPr>
        <w:jc w:val="both"/>
        <w:ind w:left="1260" w:right="679" w:firstLine="360"/>
        <w:spacing w:after="0" w:line="241" w:lineRule="auto"/>
        <w:rPr>
          <w:sz w:val="20"/>
          <w:szCs w:val="20"/>
          <w:color w:val="auto"/>
        </w:rPr>
      </w:pPr>
      <w:r>
        <w:rPr>
          <w:rFonts w:ascii="Arial" w:cs="Arial" w:eastAsia="Arial" w:hAnsi="Arial"/>
          <w:sz w:val="18"/>
          <w:szCs w:val="18"/>
          <w:color w:val="auto"/>
        </w:rPr>
        <w:t>During the year ended December 31, 2018, cash and cash equivalents decreased to $2,527,474, from $8,141,670 as of December 31, 2018. This decrease was primarily the result of the purchase of investments in portfolio companies for $168,111,471 and U.S. Treasury Bills for $270,444,962 and was partially offset by sales of investments in portfolio companies, the maturity of U.S. Treasury Bills the issuance of common stock, and borrowings under our Credit Facilities.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Equity Activity</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the authority to issue 100,000,000 shares of common stock, $0.01 par value per share.</w:t>
      </w:r>
    </w:p>
    <w:p>
      <w:pPr>
        <w:spacing w:after="0" w:line="200" w:lineRule="exact"/>
        <w:rPr>
          <w:sz w:val="20"/>
          <w:szCs w:val="20"/>
          <w:color w:val="auto"/>
        </w:rPr>
      </w:pP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On October 8, 2015, we issued 1,667 shares of our common stock to R. David Spreng, our President, Chief Executive Officer and Chairman of our Board of Directors, for an aggregate purchase price of $25,000. The remaining shares were issued in connection with the Initial Private Offering, the Second Private Offering or pursuant to the dividend reinvestment program, as follows:</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360" w:type="dxa"/>
            <w:vAlign w:val="bottom"/>
            <w:gridSpan w:val="3"/>
          </w:tcPr>
          <w:p>
            <w:pPr>
              <w:ind w:left="360"/>
              <w:spacing w:after="0"/>
              <w:rPr>
                <w:sz w:val="20"/>
                <w:szCs w:val="20"/>
                <w:color w:val="auto"/>
              </w:rPr>
            </w:pPr>
            <w:r>
              <w:rPr>
                <w:rFonts w:ascii="Arial" w:cs="Arial" w:eastAsia="Arial" w:hAnsi="Arial"/>
                <w:sz w:val="14"/>
                <w:szCs w:val="14"/>
                <w:b w:val="1"/>
                <w:bCs w:val="1"/>
                <w:color w:val="auto"/>
              </w:rPr>
              <w:t>Issuance Date</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Shares Issued</w:t>
            </w:r>
          </w:p>
        </w:tc>
        <w:tc>
          <w:tcPr>
            <w:tcW w:w="1400" w:type="dxa"/>
            <w:vAlign w:val="bottom"/>
            <w:gridSpan w:val="3"/>
          </w:tcPr>
          <w:p>
            <w:pPr>
              <w:ind w:left="200"/>
              <w:spacing w:after="0"/>
              <w:rPr>
                <w:sz w:val="20"/>
                <w:szCs w:val="20"/>
                <w:color w:val="auto"/>
              </w:rPr>
            </w:pPr>
            <w:r>
              <w:rPr>
                <w:rFonts w:ascii="Arial" w:cs="Arial" w:eastAsia="Arial" w:hAnsi="Arial"/>
                <w:sz w:val="14"/>
                <w:szCs w:val="14"/>
                <w:b w:val="1"/>
                <w:bCs w:val="1"/>
                <w:color w:val="auto"/>
              </w:rPr>
              <w:t>Price Per Share</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Gross Proceeds</w:t>
            </w:r>
          </w:p>
        </w:tc>
      </w:tr>
      <w:tr>
        <w:trPr>
          <w:trHeight w:val="26"/>
        </w:trPr>
        <w:tc>
          <w:tcPr>
            <w:tcW w:w="3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22, 2016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57"/>
        </w:trPr>
        <w:tc>
          <w:tcPr>
            <w:tcW w:w="4360" w:type="dxa"/>
            <w:vAlign w:val="bottom"/>
            <w:gridSpan w:val="3"/>
          </w:tcPr>
          <w:p>
            <w:pPr>
              <w:ind w:left="360"/>
              <w:spacing w:after="0"/>
              <w:rPr>
                <w:sz w:val="20"/>
                <w:szCs w:val="20"/>
                <w:color w:val="auto"/>
              </w:rPr>
            </w:pPr>
            <w:r>
              <w:rPr>
                <w:rFonts w:ascii="Arial" w:cs="Arial" w:eastAsia="Arial" w:hAnsi="Arial"/>
                <w:sz w:val="18"/>
                <w:szCs w:val="18"/>
                <w:color w:val="auto"/>
              </w:rPr>
              <w:t>April 19, 2017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1,000,000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15,000,000</w:t>
            </w:r>
          </w:p>
        </w:tc>
      </w:tr>
      <w:tr>
        <w:trPr>
          <w:trHeight w:val="257"/>
        </w:trPr>
        <w:tc>
          <w:tcPr>
            <w:tcW w:w="360" w:type="dxa"/>
            <w:vAlign w:val="bottom"/>
          </w:tcPr>
          <w:p>
            <w:pPr>
              <w:spacing w:after="0"/>
              <w:rPr>
                <w:sz w:val="22"/>
                <w:szCs w:val="22"/>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26, 2017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25,000,000</w:t>
            </w:r>
          </w:p>
        </w:tc>
      </w:tr>
      <w:tr>
        <w:trPr>
          <w:trHeight w:val="257"/>
        </w:trPr>
        <w:tc>
          <w:tcPr>
            <w:tcW w:w="4360" w:type="dxa"/>
            <w:vAlign w:val="bottom"/>
            <w:gridSpan w:val="3"/>
          </w:tcPr>
          <w:p>
            <w:pPr>
              <w:ind w:left="360"/>
              <w:spacing w:after="0"/>
              <w:rPr>
                <w:sz w:val="20"/>
                <w:szCs w:val="20"/>
                <w:color w:val="auto"/>
              </w:rPr>
            </w:pPr>
            <w:r>
              <w:rPr>
                <w:rFonts w:ascii="Arial" w:cs="Arial" w:eastAsia="Arial" w:hAnsi="Arial"/>
                <w:sz w:val="18"/>
                <w:szCs w:val="18"/>
                <w:color w:val="auto"/>
              </w:rPr>
              <w:t>September 12, 2017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2,666,667</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40,000,000</w:t>
            </w:r>
          </w:p>
        </w:tc>
      </w:tr>
      <w:tr>
        <w:trPr>
          <w:trHeight w:val="256"/>
        </w:trPr>
        <w:tc>
          <w:tcPr>
            <w:tcW w:w="360" w:type="dxa"/>
            <w:vAlign w:val="bottom"/>
          </w:tcPr>
          <w:p>
            <w:pPr>
              <w:spacing w:after="0"/>
              <w:rPr>
                <w:sz w:val="22"/>
                <w:szCs w:val="22"/>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22, 2017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45,000,000</w:t>
            </w:r>
          </w:p>
        </w:tc>
      </w:tr>
      <w:tr>
        <w:trPr>
          <w:trHeight w:val="270"/>
        </w:trPr>
        <w:tc>
          <w:tcPr>
            <w:tcW w:w="360" w:type="dxa"/>
            <w:vAlign w:val="bottom"/>
          </w:tcPr>
          <w:p>
            <w:pPr>
              <w:spacing w:after="0"/>
              <w:rPr>
                <w:sz w:val="23"/>
                <w:szCs w:val="23"/>
                <w:color w:val="auto"/>
              </w:rPr>
            </w:pPr>
          </w:p>
        </w:tc>
        <w:tc>
          <w:tcPr>
            <w:tcW w:w="4000" w:type="dxa"/>
            <w:vAlign w:val="bottom"/>
            <w:gridSpan w:val="2"/>
          </w:tcPr>
          <w:p>
            <w:pPr>
              <w:spacing w:after="0" w:line="270" w:lineRule="exact"/>
              <w:rPr>
                <w:sz w:val="20"/>
                <w:szCs w:val="20"/>
                <w:color w:val="auto"/>
              </w:rPr>
            </w:pPr>
            <w:r>
              <w:rPr>
                <w:rFonts w:ascii="Arial" w:cs="Arial" w:eastAsia="Arial" w:hAnsi="Arial"/>
                <w:sz w:val="18"/>
                <w:szCs w:val="18"/>
                <w:color w:val="auto"/>
              </w:rPr>
              <w:t>May 31, 2018</w:t>
            </w:r>
            <w:r>
              <w:rPr>
                <w:rFonts w:ascii="Arial" w:cs="Arial" w:eastAsia="Arial" w:hAnsi="Arial"/>
                <w:sz w:val="26"/>
                <w:szCs w:val="26"/>
                <w:color w:val="auto"/>
                <w:vertAlign w:val="superscript"/>
              </w:rPr>
              <w:t>(1)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70,563</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14.82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1,045,570</w:t>
            </w:r>
          </w:p>
        </w:tc>
      </w:tr>
      <w:tr>
        <w:trPr>
          <w:trHeight w:val="270"/>
        </w:trPr>
        <w:tc>
          <w:tcPr>
            <w:tcW w:w="360" w:type="dxa"/>
            <w:vAlign w:val="bottom"/>
          </w:tcPr>
          <w:p>
            <w:pPr>
              <w:spacing w:after="0"/>
              <w:rPr>
                <w:sz w:val="23"/>
                <w:szCs w:val="23"/>
                <w:color w:val="auto"/>
              </w:rPr>
            </w:pPr>
          </w:p>
        </w:tc>
        <w:tc>
          <w:tcPr>
            <w:tcW w:w="40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August 31, 2018</w:t>
            </w:r>
            <w:r>
              <w:rPr>
                <w:rFonts w:ascii="Arial" w:cs="Arial" w:eastAsia="Arial" w:hAnsi="Arial"/>
                <w:sz w:val="26"/>
                <w:szCs w:val="26"/>
                <w:color w:val="auto"/>
                <w:vertAlign w:val="superscript"/>
              </w:rPr>
              <w:t>(1)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117,582</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14.92</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1,754,244</w:t>
            </w:r>
          </w:p>
        </w:tc>
      </w:tr>
      <w:tr>
        <w:trPr>
          <w:trHeight w:val="257"/>
        </w:trPr>
        <w:tc>
          <w:tcPr>
            <w:tcW w:w="4360" w:type="dxa"/>
            <w:vAlign w:val="bottom"/>
            <w:gridSpan w:val="3"/>
          </w:tcPr>
          <w:p>
            <w:pPr>
              <w:ind w:left="360"/>
              <w:spacing w:after="0"/>
              <w:rPr>
                <w:sz w:val="20"/>
                <w:szCs w:val="20"/>
                <w:color w:val="auto"/>
              </w:rPr>
            </w:pPr>
            <w:r>
              <w:rPr>
                <w:rFonts w:ascii="Arial" w:cs="Arial" w:eastAsia="Arial" w:hAnsi="Arial"/>
                <w:sz w:val="18"/>
                <w:szCs w:val="18"/>
                <w:color w:val="auto"/>
              </w:rPr>
              <w:t>September 27, 2018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1,997,337</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15.02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30,000,000</w:t>
            </w:r>
          </w:p>
        </w:tc>
      </w:tr>
      <w:tr>
        <w:trPr>
          <w:trHeight w:val="270"/>
        </w:trPr>
        <w:tc>
          <w:tcPr>
            <w:tcW w:w="360" w:type="dxa"/>
            <w:vAlign w:val="bottom"/>
          </w:tcPr>
          <w:p>
            <w:pPr>
              <w:spacing w:after="0"/>
              <w:rPr>
                <w:sz w:val="23"/>
                <w:szCs w:val="23"/>
                <w:color w:val="auto"/>
              </w:rPr>
            </w:pPr>
          </w:p>
        </w:tc>
        <w:tc>
          <w:tcPr>
            <w:tcW w:w="40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November 15, 2018</w:t>
            </w:r>
            <w:r>
              <w:rPr>
                <w:rFonts w:ascii="Arial" w:cs="Arial" w:eastAsia="Arial" w:hAnsi="Arial"/>
                <w:sz w:val="26"/>
                <w:szCs w:val="26"/>
                <w:color w:val="auto"/>
                <w:vertAlign w:val="superscript"/>
              </w:rPr>
              <w:t>(1)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202,779</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15.07</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3,055,498</w:t>
            </w:r>
          </w:p>
        </w:tc>
      </w:tr>
      <w:tr>
        <w:trPr>
          <w:trHeight w:val="257"/>
        </w:trPr>
        <w:tc>
          <w:tcPr>
            <w:tcW w:w="4360" w:type="dxa"/>
            <w:vAlign w:val="bottom"/>
            <w:gridSpan w:val="3"/>
          </w:tcPr>
          <w:p>
            <w:pPr>
              <w:ind w:left="360"/>
              <w:spacing w:after="0"/>
              <w:rPr>
                <w:sz w:val="20"/>
                <w:szCs w:val="20"/>
                <w:color w:val="auto"/>
              </w:rPr>
            </w:pPr>
            <w:r>
              <w:rPr>
                <w:rFonts w:ascii="Arial" w:cs="Arial" w:eastAsia="Arial" w:hAnsi="Arial"/>
                <w:sz w:val="18"/>
                <w:szCs w:val="18"/>
                <w:color w:val="auto"/>
              </w:rPr>
              <w:t>January 14, 2019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4,344,964</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15.19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66,000,000</w:t>
            </w:r>
          </w:p>
        </w:tc>
      </w:tr>
      <w:tr>
        <w:trPr>
          <w:trHeight w:val="270"/>
        </w:trPr>
        <w:tc>
          <w:tcPr>
            <w:tcW w:w="360" w:type="dxa"/>
            <w:vAlign w:val="bottom"/>
          </w:tcPr>
          <w:p>
            <w:pPr>
              <w:spacing w:after="0"/>
              <w:rPr>
                <w:sz w:val="23"/>
                <w:szCs w:val="23"/>
                <w:color w:val="auto"/>
              </w:rPr>
            </w:pPr>
          </w:p>
        </w:tc>
        <w:tc>
          <w:tcPr>
            <w:tcW w:w="40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March 26, 2019</w:t>
            </w:r>
            <w:r>
              <w:rPr>
                <w:rFonts w:ascii="Arial" w:cs="Arial" w:eastAsia="Arial" w:hAnsi="Arial"/>
                <w:sz w:val="26"/>
                <w:szCs w:val="26"/>
                <w:color w:val="auto"/>
                <w:vertAlign w:val="superscript"/>
              </w:rPr>
              <w:t>(1)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326,431</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15.14</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4,942,168</w:t>
            </w:r>
          </w:p>
        </w:tc>
      </w:tr>
      <w:tr>
        <w:trPr>
          <w:trHeight w:val="270"/>
        </w:trPr>
        <w:tc>
          <w:tcPr>
            <w:tcW w:w="360" w:type="dxa"/>
            <w:vAlign w:val="bottom"/>
          </w:tcPr>
          <w:p>
            <w:pPr>
              <w:spacing w:after="0"/>
              <w:rPr>
                <w:sz w:val="23"/>
                <w:szCs w:val="23"/>
                <w:color w:val="auto"/>
              </w:rPr>
            </w:pPr>
          </w:p>
        </w:tc>
        <w:tc>
          <w:tcPr>
            <w:tcW w:w="4000" w:type="dxa"/>
            <w:vAlign w:val="bottom"/>
            <w:gridSpan w:val="2"/>
          </w:tcPr>
          <w:p>
            <w:pPr>
              <w:spacing w:after="0" w:line="270" w:lineRule="exact"/>
              <w:rPr>
                <w:sz w:val="20"/>
                <w:szCs w:val="20"/>
                <w:color w:val="auto"/>
              </w:rPr>
            </w:pPr>
            <w:r>
              <w:rPr>
                <w:rFonts w:ascii="Arial" w:cs="Arial" w:eastAsia="Arial" w:hAnsi="Arial"/>
                <w:sz w:val="18"/>
                <w:szCs w:val="18"/>
                <w:color w:val="auto"/>
              </w:rPr>
              <w:t>May 21, 2019</w:t>
            </w:r>
            <w:r>
              <w:rPr>
                <w:rFonts w:ascii="Arial" w:cs="Arial" w:eastAsia="Arial" w:hAnsi="Arial"/>
                <w:sz w:val="26"/>
                <w:szCs w:val="26"/>
                <w:color w:val="auto"/>
                <w:vertAlign w:val="superscript"/>
              </w:rPr>
              <w:t>(1)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374,783</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15.13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5,670,467</w:t>
            </w:r>
          </w:p>
        </w:tc>
      </w:tr>
      <w:tr>
        <w:trPr>
          <w:trHeight w:val="257"/>
        </w:trPr>
        <w:tc>
          <w:tcPr>
            <w:tcW w:w="360" w:type="dxa"/>
            <w:vAlign w:val="bottom"/>
          </w:tcPr>
          <w:p>
            <w:pPr>
              <w:spacing w:after="0"/>
              <w:rPr>
                <w:sz w:val="22"/>
                <w:szCs w:val="22"/>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24, 2019</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3,232,189</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49,000,000</w:t>
            </w:r>
          </w:p>
        </w:tc>
      </w:tr>
      <w:tr>
        <w:trPr>
          <w:trHeight w:val="270"/>
        </w:trPr>
        <w:tc>
          <w:tcPr>
            <w:tcW w:w="360" w:type="dxa"/>
            <w:vAlign w:val="bottom"/>
          </w:tcPr>
          <w:p>
            <w:pPr>
              <w:spacing w:after="0"/>
              <w:rPr>
                <w:sz w:val="23"/>
                <w:szCs w:val="23"/>
                <w:color w:val="auto"/>
              </w:rPr>
            </w:pPr>
          </w:p>
        </w:tc>
        <w:tc>
          <w:tcPr>
            <w:tcW w:w="4000" w:type="dxa"/>
            <w:vAlign w:val="bottom"/>
            <w:gridSpan w:val="2"/>
          </w:tcPr>
          <w:p>
            <w:pPr>
              <w:spacing w:after="0" w:line="270" w:lineRule="exact"/>
              <w:rPr>
                <w:sz w:val="20"/>
                <w:szCs w:val="20"/>
                <w:color w:val="auto"/>
              </w:rPr>
            </w:pPr>
            <w:r>
              <w:rPr>
                <w:rFonts w:ascii="Arial" w:cs="Arial" w:eastAsia="Arial" w:hAnsi="Arial"/>
                <w:sz w:val="18"/>
                <w:szCs w:val="18"/>
                <w:color w:val="auto"/>
              </w:rPr>
              <w:t>July 16, 2019</w:t>
            </w:r>
            <w:r>
              <w:rPr>
                <w:rFonts w:ascii="Arial" w:cs="Arial" w:eastAsia="Arial" w:hAnsi="Arial"/>
                <w:sz w:val="26"/>
                <w:szCs w:val="26"/>
                <w:color w:val="auto"/>
                <w:vertAlign w:val="superscript"/>
              </w:rPr>
              <w:t>(1)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464,986</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15.13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7,035,237</w:t>
            </w:r>
          </w:p>
        </w:tc>
      </w:tr>
      <w:tr>
        <w:trPr>
          <w:trHeight w:val="270"/>
        </w:trPr>
        <w:tc>
          <w:tcPr>
            <w:tcW w:w="360" w:type="dxa"/>
            <w:vAlign w:val="bottom"/>
          </w:tcPr>
          <w:p>
            <w:pPr>
              <w:spacing w:after="0"/>
              <w:rPr>
                <w:sz w:val="23"/>
                <w:szCs w:val="23"/>
                <w:color w:val="auto"/>
              </w:rPr>
            </w:pPr>
          </w:p>
        </w:tc>
        <w:tc>
          <w:tcPr>
            <w:tcW w:w="40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August 26, 2019</w:t>
            </w:r>
            <w:r>
              <w:rPr>
                <w:rFonts w:ascii="Arial" w:cs="Arial" w:eastAsia="Arial" w:hAnsi="Arial"/>
                <w:sz w:val="26"/>
                <w:szCs w:val="26"/>
                <w:color w:val="auto"/>
                <w:vertAlign w:val="superscript"/>
              </w:rPr>
              <w:t>(1)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480,121</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14.76</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7,088,143</w:t>
            </w:r>
          </w:p>
        </w:tc>
      </w:tr>
      <w:tr>
        <w:trPr>
          <w:trHeight w:val="256"/>
        </w:trPr>
        <w:tc>
          <w:tcPr>
            <w:tcW w:w="4360" w:type="dxa"/>
            <w:vAlign w:val="bottom"/>
            <w:gridSpan w:val="3"/>
          </w:tcPr>
          <w:p>
            <w:pPr>
              <w:ind w:left="360"/>
              <w:spacing w:after="0"/>
              <w:rPr>
                <w:sz w:val="20"/>
                <w:szCs w:val="20"/>
                <w:color w:val="auto"/>
              </w:rPr>
            </w:pPr>
            <w:r>
              <w:rPr>
                <w:rFonts w:ascii="Arial" w:cs="Arial" w:eastAsia="Arial" w:hAnsi="Arial"/>
                <w:sz w:val="18"/>
                <w:szCs w:val="18"/>
                <w:color w:val="auto"/>
              </w:rPr>
              <w:t>October 15, 2019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1,666,667</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25,000,000</w:t>
            </w:r>
          </w:p>
        </w:tc>
      </w:tr>
      <w:tr>
        <w:trPr>
          <w:trHeight w:val="270"/>
        </w:trPr>
        <w:tc>
          <w:tcPr>
            <w:tcW w:w="360" w:type="dxa"/>
            <w:vAlign w:val="bottom"/>
          </w:tcPr>
          <w:p>
            <w:pPr>
              <w:spacing w:after="0"/>
              <w:rPr>
                <w:sz w:val="23"/>
                <w:szCs w:val="23"/>
                <w:color w:val="auto"/>
              </w:rPr>
            </w:pPr>
          </w:p>
        </w:tc>
        <w:tc>
          <w:tcPr>
            <w:tcW w:w="40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November 12, 2019</w:t>
            </w:r>
            <w:r>
              <w:rPr>
                <w:rFonts w:ascii="Arial" w:cs="Arial" w:eastAsia="Arial" w:hAnsi="Arial"/>
                <w:sz w:val="26"/>
                <w:szCs w:val="26"/>
                <w:color w:val="auto"/>
                <w:vertAlign w:val="superscript"/>
              </w:rPr>
              <w:t>(1)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43,979</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14.76</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649,123</w:t>
            </w:r>
          </w:p>
        </w:tc>
      </w:tr>
      <w:tr>
        <w:trPr>
          <w:trHeight w:val="270"/>
        </w:trPr>
        <w:tc>
          <w:tcPr>
            <w:tcW w:w="4360" w:type="dxa"/>
            <w:vAlign w:val="bottom"/>
            <w:gridSpan w:val="3"/>
          </w:tcPr>
          <w:p>
            <w:pPr>
              <w:ind w:left="360"/>
              <w:spacing w:after="0"/>
              <w:rPr>
                <w:sz w:val="20"/>
                <w:szCs w:val="20"/>
                <w:color w:val="auto"/>
              </w:rPr>
            </w:pPr>
            <w:r>
              <w:rPr>
                <w:rFonts w:ascii="Arial" w:cs="Arial" w:eastAsia="Arial" w:hAnsi="Arial"/>
                <w:sz w:val="18"/>
                <w:szCs w:val="18"/>
                <w:color w:val="auto"/>
              </w:rPr>
              <w:t>December 20, 2019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3,333,333</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50,000,000</w:t>
            </w:r>
          </w:p>
        </w:tc>
      </w:tr>
      <w:tr>
        <w:trPr>
          <w:trHeight w:val="297"/>
        </w:trPr>
        <w:tc>
          <w:tcPr>
            <w:tcW w:w="360" w:type="dxa"/>
            <w:vAlign w:val="bottom"/>
          </w:tcPr>
          <w:p>
            <w:pPr>
              <w:spacing w:after="0"/>
              <w:rPr>
                <w:sz w:val="24"/>
                <w:szCs w:val="24"/>
                <w:color w:val="auto"/>
              </w:rPr>
            </w:pPr>
          </w:p>
        </w:tc>
        <w:tc>
          <w:tcPr>
            <w:tcW w:w="4000" w:type="dxa"/>
            <w:vAlign w:val="bottom"/>
            <w:tcBorders>
              <w:bottom w:val="single" w:sz="8" w:color="CCEEFF"/>
            </w:tcBorders>
            <w:gridSpan w:val="2"/>
            <w:shd w:val="clear" w:color="auto" w:fill="CCEEFF"/>
          </w:tcPr>
          <w:p>
            <w:pPr>
              <w:spacing w:after="0" w:line="297" w:lineRule="exact"/>
              <w:rPr>
                <w:sz w:val="20"/>
                <w:szCs w:val="20"/>
                <w:color w:val="auto"/>
              </w:rPr>
            </w:pPr>
            <w:r>
              <w:rPr>
                <w:rFonts w:ascii="Arial" w:cs="Arial" w:eastAsia="Arial" w:hAnsi="Arial"/>
                <w:sz w:val="18"/>
                <w:szCs w:val="18"/>
                <w:color w:val="auto"/>
              </w:rPr>
              <w:t>December 23, 2019</w:t>
            </w:r>
            <w:r>
              <w:rPr>
                <w:rFonts w:ascii="Arial" w:cs="Arial" w:eastAsia="Arial" w:hAnsi="Arial"/>
                <w:sz w:val="26"/>
                <w:szCs w:val="26"/>
                <w:color w:val="auto"/>
                <w:vertAlign w:val="superscript"/>
              </w:rPr>
              <w:t>(1)</w:t>
            </w: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487,166</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14.52</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7,073,649</w:t>
            </w:r>
          </w:p>
        </w:tc>
      </w:tr>
      <w:tr>
        <w:trPr>
          <w:trHeight w:val="271"/>
        </w:trPr>
        <w:tc>
          <w:tcPr>
            <w:tcW w:w="436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25,809,547</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388,314,099</w:t>
            </w: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08"/>
        </w:trPr>
        <w:tc>
          <w:tcPr>
            <w:tcW w:w="3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-3505200</wp:posOffset>
            </wp:positionV>
            <wp:extent cx="137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-3505200</wp:posOffset>
            </wp:positionV>
            <wp:extent cx="137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-3505200</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Shares were issued as part of the dividend reinvestment program.</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8"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At December 31, 2019, the Company had $40,000,000 in unfunded loan commitments to provide debt financing to nine portfolio companies. The Company’s management believes that its available cash balances, availability under the Credit Agreement and/or ability to drawdown capital from investors provides sufficient funds to cover its unfunded commitments as of December 31, 2019.</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7"/>
          </w:tcPr>
          <w:p>
            <w:pPr>
              <w:ind w:left="320"/>
              <w:spacing w:after="0"/>
              <w:rPr>
                <w:sz w:val="20"/>
                <w:szCs w:val="20"/>
                <w:color w:val="auto"/>
              </w:rPr>
            </w:pPr>
            <w:r>
              <w:rPr>
                <w:rFonts w:ascii="Arial" w:cs="Arial" w:eastAsia="Arial" w:hAnsi="Arial"/>
                <w:sz w:val="14"/>
                <w:szCs w:val="14"/>
                <w:b w:val="1"/>
                <w:bCs w:val="1"/>
                <w:color w:val="auto"/>
                <w:w w:val="98"/>
              </w:rPr>
              <w:t>Payments Due By Period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19"/>
              <w:spacing w:after="0"/>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6"/>
                <w:szCs w:val="16"/>
                <w:color w:val="auto"/>
              </w:rPr>
            </w:pP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rPr>
              <w:t>1 – 3 years</w:t>
            </w: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rPr>
              <w:t>3 – 5 years</w:t>
            </w:r>
          </w:p>
        </w:tc>
        <w:tc>
          <w:tcPr>
            <w:tcW w:w="10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5"/>
        </w:trPr>
        <w:tc>
          <w:tcPr>
            <w:tcW w:w="19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gridSpan w:val="3"/>
            <w:shd w:val="clear" w:color="auto" w:fill="CCEEFF"/>
          </w:tcPr>
          <w:p>
            <w:pPr>
              <w:spacing w:after="0" w:line="263" w:lineRule="exact"/>
              <w:rPr>
                <w:sz w:val="20"/>
                <w:szCs w:val="20"/>
                <w:color w:val="auto"/>
              </w:rPr>
            </w:pPr>
            <w:r>
              <w:rPr>
                <w:rFonts w:ascii="Arial" w:cs="Arial" w:eastAsia="Arial" w:hAnsi="Arial"/>
                <w:sz w:val="18"/>
                <w:szCs w:val="18"/>
                <w:color w:val="auto"/>
              </w:rPr>
              <w:t>Reverse repurchase agreement</w:t>
            </w:r>
            <w:r>
              <w:rPr>
                <w:rFonts w:ascii="Arial" w:cs="Arial" w:eastAsia="Arial" w:hAnsi="Arial"/>
                <w:sz w:val="26"/>
                <w:szCs w:val="26"/>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74,593,802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74,593,802</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3380" w:type="dxa"/>
            <w:vAlign w:val="bottom"/>
            <w:gridSpan w:val="3"/>
          </w:tcPr>
          <w:p>
            <w:pPr>
              <w:spacing w:after="0" w:line="283" w:lineRule="exact"/>
              <w:rPr>
                <w:sz w:val="20"/>
                <w:szCs w:val="20"/>
                <w:color w:val="auto"/>
              </w:rPr>
            </w:pPr>
            <w:r>
              <w:rPr>
                <w:rFonts w:ascii="Arial" w:cs="Arial" w:eastAsia="Arial" w:hAnsi="Arial"/>
                <w:sz w:val="18"/>
                <w:szCs w:val="18"/>
                <w:color w:val="auto"/>
              </w:rPr>
              <w:t>Credit facilities</w:t>
            </w:r>
            <w:r>
              <w:rPr>
                <w:rFonts w:ascii="Arial" w:cs="Arial" w:eastAsia="Arial" w:hAnsi="Arial"/>
                <w:sz w:val="26"/>
                <w:szCs w:val="26"/>
                <w:color w:val="auto"/>
                <w:vertAlign w:val="superscript"/>
              </w:rPr>
              <w:t>(2)</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61,000,000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61,000,000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380" w:type="dxa"/>
            <w:vAlign w:val="bottom"/>
            <w:gridSpan w:val="3"/>
            <w:vMerge w:val="continue"/>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135,593,802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135,593,802</w:t>
            </w:r>
          </w:p>
        </w:tc>
        <w:tc>
          <w:tcPr>
            <w:tcW w:w="320" w:type="dxa"/>
            <w:vAlign w:val="bottom"/>
            <w:gridSpan w:val="2"/>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940" w:type="dxa"/>
            <w:vAlign w:val="bottom"/>
            <w:tcBorders>
              <w:bottom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-299720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-299720</wp:posOffset>
            </wp:positionV>
            <wp:extent cx="274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-299720</wp:posOffset>
            </wp:positionV>
            <wp:extent cx="2825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-299720</wp:posOffset>
            </wp:positionV>
            <wp:extent cx="2057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-299720</wp:posOffset>
            </wp:positionV>
            <wp:extent cx="29229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229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-659765</wp:posOffset>
            </wp:positionV>
            <wp:extent cx="137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-659765</wp:posOffset>
            </wp:positionV>
            <wp:extent cx="137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-659765</wp:posOffset>
            </wp:positionV>
            <wp:extent cx="137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-659765</wp:posOffset>
            </wp:positionV>
            <wp:extent cx="29146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95" w:lineRule="exact"/>
        <w:rPr>
          <w:sz w:val="20"/>
          <w:szCs w:val="20"/>
          <w:color w:val="auto"/>
        </w:rPr>
      </w:pPr>
    </w:p>
    <w:p>
      <w:pPr>
        <w:ind w:left="1620" w:right="679" w:hanging="358"/>
        <w:spacing w:after="0" w:line="27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Reverse repurchase agreement relates to the purchase of the U.S. Treasury Bill on margin. The reverse repurchase agreement purchased was subsequently repaid in January 2020.</w:t>
      </w:r>
    </w:p>
    <w:p>
      <w:pPr>
        <w:spacing w:after="0" w:line="129" w:lineRule="exact"/>
        <w:rPr>
          <w:rFonts w:ascii="Arial" w:cs="Arial" w:eastAsia="Arial" w:hAnsi="Arial"/>
          <w:sz w:val="18"/>
          <w:szCs w:val="18"/>
          <w:color w:val="auto"/>
        </w:rPr>
      </w:pPr>
    </w:p>
    <w:p>
      <w:pPr>
        <w:ind w:left="1620" w:right="679" w:hanging="358"/>
        <w:spacing w:after="0" w:line="27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10 — Credit Facilities.” to our financial statements in Part II of this Form 10-K for more information.</w:t>
      </w: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44" w:lineRule="exact"/>
        <w:rPr>
          <w:sz w:val="20"/>
          <w:szCs w:val="20"/>
          <w:color w:val="auto"/>
        </w:rPr>
      </w:pPr>
    </w:p>
    <w:p>
      <w:pPr>
        <w:jc w:val="both"/>
        <w:ind w:left="1260" w:right="679" w:firstLine="360"/>
        <w:spacing w:after="0" w:line="282" w:lineRule="auto"/>
        <w:rPr>
          <w:sz w:val="20"/>
          <w:szCs w:val="20"/>
          <w:color w:val="auto"/>
        </w:rPr>
      </w:pPr>
      <w:r>
        <w:rPr>
          <w:rFonts w:ascii="Arial" w:cs="Arial" w:eastAsia="Arial" w:hAnsi="Arial"/>
          <w:sz w:val="16"/>
          <w:szCs w:val="16"/>
          <w:color w:val="auto"/>
        </w:rPr>
        <w:t>On May 31, 2019, we entered into the Credit Agreement with KeyBank National Association, as administrative agent, syndication agent, and a lender, CIBC Bank USA, as documentation agent and a lender, and U.S. Bank National Association, as paying agent. 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w:t>
      </w:r>
    </w:p>
    <w:p>
      <w:pPr>
        <w:spacing w:after="0" w:line="11" w:lineRule="exact"/>
        <w:rPr>
          <w:sz w:val="20"/>
          <w:szCs w:val="20"/>
          <w:color w:val="auto"/>
        </w:rPr>
      </w:pPr>
    </w:p>
    <w:p>
      <w:pPr>
        <w:jc w:val="both"/>
        <w:ind w:left="1260" w:right="679" w:firstLine="2"/>
        <w:spacing w:after="0" w:line="268" w:lineRule="auto"/>
        <w:tabs>
          <w:tab w:leader="none" w:pos="153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 The availability period under the Credit Agreement expires on May 31, 2022 and is followed by a two-year amortization period. The stated maturity date under the Credit Agreement is May 31, 2024. The Credit Agreement is secured by a perfected first priority security interest in substantially all of the Company’s assets and portfolio investments.</w:t>
      </w:r>
    </w:p>
    <w:p>
      <w:pPr>
        <w:spacing w:after="0" w:line="116"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6"/>
          <w:szCs w:val="16"/>
          <w:color w:val="auto"/>
        </w:rPr>
        <w:t>On June 22, 2018, as amended on September 24, 2018, we entered into the Uncommitted Facility and the Committed Facility with CIBC. The maximum principal amount of available borrowings under each of the Uncommitted Facility and the Committed Facility was $30 million (for a combined maximum principal amount under the Credit Facilities of $60 million), subject in each case to availability under the borrowing base, which is based on unused capital commitments. Borrowings under the Credit Facilities bear interest, at our election at the time of drawdown, at a rate per annum equal to (i) in the case of LIBOR rate loans, the LIBOR rate for the applicable interest period plus 2.50% or (ii) in the case of prime rate loans, CIBC’s prime commercial rate at the time of the borrowing minus 0.50%. The Credit Facilities mature on September 19, 2019 and are secured by a perfected first priority security interest in our right, title, and interest in and to the capital commitments of our private investors, including our right to make capital calls, receive and apply capital contributions, enforce remedies and claims related thereto together with capital call proceeds and related rights, and a pledge of the collateral account into which capital call proceeds are deposited. On May 31, 2019, in conjunction with securing and entering into the new Credit Agreement, we terminated the Credit Facilities.</w:t>
      </w:r>
    </w:p>
    <w:p>
      <w:pPr>
        <w:spacing w:after="0" w:line="106" w:lineRule="exact"/>
        <w:rPr>
          <w:sz w:val="20"/>
          <w:szCs w:val="20"/>
          <w:color w:val="auto"/>
        </w:rPr>
      </w:pPr>
    </w:p>
    <w:p>
      <w:pPr>
        <w:jc w:val="both"/>
        <w:ind w:left="1260" w:right="679" w:firstLine="360"/>
        <w:spacing w:after="0" w:line="273" w:lineRule="auto"/>
        <w:rPr>
          <w:sz w:val="20"/>
          <w:szCs w:val="20"/>
          <w:color w:val="auto"/>
        </w:rPr>
      </w:pPr>
      <w:r>
        <w:rPr>
          <w:rFonts w:ascii="Arial" w:cs="Arial" w:eastAsia="Arial" w:hAnsi="Arial"/>
          <w:sz w:val="17"/>
          <w:szCs w:val="17"/>
          <w:color w:val="auto"/>
        </w:rPr>
        <w:t>During the year ended December 31, 2019, the Company drew down $162,250,000 and repaid $160,750,000 of which $61,000,000 remains outstanding. At December 31, 2019, interest was accruing at a rate of 5.10%. During the year ended December 31, 2018, the Company drew down $74,500,000 and repaid $15,000,000, of which $59,500,000 remained outstanding at December 31, 2018. At December 31, 2018 interest was accruing at a rate of 5.00% per annum.. See “Note 10 — Credit Facilities” to our financial statements in Part II, Item 8 of this Form 10-K for more information on the Credit Facilities.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44" w:lineRule="exact"/>
        <w:rPr>
          <w:sz w:val="20"/>
          <w:szCs w:val="20"/>
          <w:color w:val="auto"/>
        </w:rPr>
      </w:pPr>
    </w:p>
    <w:p>
      <w:pPr>
        <w:jc w:val="both"/>
        <w:ind w:left="1260" w:right="679" w:firstLine="360"/>
        <w:spacing w:after="0" w:line="277" w:lineRule="auto"/>
        <w:rPr>
          <w:sz w:val="20"/>
          <w:szCs w:val="20"/>
          <w:color w:val="auto"/>
        </w:rPr>
      </w:pPr>
      <w:r>
        <w:rPr>
          <w:rFonts w:ascii="Arial" w:cs="Arial" w:eastAsia="Arial" w:hAnsi="Arial"/>
          <w:sz w:val="18"/>
          <w:szCs w:val="18"/>
          <w:color w:val="auto"/>
        </w:rPr>
        <w:t>We currently have no off-balance sheet arrangements, including any risk management of commodity pricing or other hedging practices.</w:t>
      </w: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Distributions</w:t>
      </w:r>
    </w:p>
    <w:p>
      <w:pPr>
        <w:spacing w:after="0" w:line="144" w:lineRule="exact"/>
        <w:rPr>
          <w:sz w:val="20"/>
          <w:szCs w:val="20"/>
          <w:color w:val="auto"/>
        </w:rPr>
      </w:pPr>
    </w:p>
    <w:p>
      <w:pPr>
        <w:jc w:val="both"/>
        <w:ind w:left="1260" w:right="679" w:firstLine="360"/>
        <w:spacing w:after="0" w:line="269" w:lineRule="auto"/>
        <w:rPr>
          <w:sz w:val="20"/>
          <w:szCs w:val="20"/>
          <w:color w:val="auto"/>
        </w:rPr>
      </w:pPr>
      <w:r>
        <w:rPr>
          <w:rFonts w:ascii="Arial" w:cs="Arial" w:eastAsia="Arial" w:hAnsi="Arial"/>
          <w:sz w:val="16"/>
          <w:szCs w:val="16"/>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 During the year ended December 31, 2019, we declared and paid dividends in the amount of $40,651,334, of which $8,192,547 was distributed in cash and the remainder distributed in shares to stockholders pursuant to our dividend reinvestment program. During the year ended December 31, 2018, we declared and paid dividends in the amount of $7,283,810, of which $1,428,498 was distributed in cash and the remainder distributed in shares to stockholders pursuant to our dividend reinvestment program. During the year ended December 31, 2017, we did not declare or pay any dividends or distributions.</w:t>
      </w:r>
    </w:p>
    <w:p>
      <w:pPr>
        <w:spacing w:after="0" w:line="100" w:lineRule="exact"/>
        <w:rPr>
          <w:sz w:val="20"/>
          <w:szCs w:val="20"/>
          <w:color w:val="auto"/>
        </w:rPr>
      </w:pPr>
    </w:p>
    <w:p>
      <w:pPr>
        <w:jc w:val="both"/>
        <w:ind w:left="1260" w:right="679" w:firstLine="360"/>
        <w:spacing w:after="0" w:line="248"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shows the dividends per share declared since our formation through December 31, 2019.</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r>
      <w:tr>
        <w:trPr>
          <w:trHeight w:val="186"/>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1720" w:type="dxa"/>
            <w:vAlign w:val="bottom"/>
            <w:gridSpan w:val="2"/>
          </w:tcPr>
          <w:p>
            <w:pPr>
              <w:ind w:left="360"/>
              <w:spacing w:after="0"/>
              <w:rPr>
                <w:sz w:val="20"/>
                <w:szCs w:val="20"/>
                <w:color w:val="auto"/>
              </w:rPr>
            </w:pPr>
            <w:r>
              <w:rPr>
                <w:rFonts w:ascii="Arial" w:cs="Arial" w:eastAsia="Arial" w:hAnsi="Arial"/>
                <w:sz w:val="14"/>
                <w:szCs w:val="14"/>
                <w:b w:val="1"/>
                <w:bCs w:val="1"/>
                <w:color w:val="auto"/>
              </w:rPr>
              <w:t>Record Date</w:t>
            </w: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Payment Date</w:t>
            </w:r>
          </w:p>
        </w:tc>
        <w:tc>
          <w:tcPr>
            <w:tcW w:w="82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2"/>
              </w:rPr>
              <w:t>per Share</w:t>
            </w:r>
          </w:p>
        </w:tc>
      </w:tr>
      <w:tr>
        <w:trPr>
          <w:trHeight w:val="26"/>
        </w:trPr>
        <w:tc>
          <w:tcPr>
            <w:tcW w:w="3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2018</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May 15, 2018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31, 2018</w:t>
            </w:r>
          </w:p>
        </w:tc>
        <w:tc>
          <w:tcPr>
            <w:tcW w:w="8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$0.15</w:t>
            </w:r>
          </w:p>
        </w:tc>
      </w:tr>
      <w:tr>
        <w:trPr>
          <w:trHeight w:val="257"/>
        </w:trPr>
        <w:tc>
          <w:tcPr>
            <w:tcW w:w="3460" w:type="dxa"/>
            <w:vAlign w:val="bottom"/>
            <w:gridSpan w:val="2"/>
          </w:tcPr>
          <w:p>
            <w:pPr>
              <w:spacing w:after="0"/>
              <w:rPr>
                <w:sz w:val="20"/>
                <w:szCs w:val="20"/>
                <w:color w:val="auto"/>
              </w:rPr>
            </w:pPr>
            <w:r>
              <w:rPr>
                <w:rFonts w:ascii="Arial" w:cs="Arial" w:eastAsia="Arial" w:hAnsi="Arial"/>
                <w:sz w:val="18"/>
                <w:szCs w:val="18"/>
                <w:color w:val="auto"/>
              </w:rPr>
              <w:t>July 26, 2018</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August 15, 2018</w:t>
            </w:r>
          </w:p>
        </w:tc>
        <w:tc>
          <w:tcPr>
            <w:tcW w:w="1480" w:type="dxa"/>
            <w:vAlign w:val="bottom"/>
          </w:tcPr>
          <w:p>
            <w:pPr>
              <w:jc w:val="right"/>
              <w:spacing w:after="0"/>
              <w:rPr>
                <w:sz w:val="20"/>
                <w:szCs w:val="20"/>
                <w:color w:val="auto"/>
              </w:rPr>
            </w:pPr>
            <w:r>
              <w:rPr>
                <w:rFonts w:ascii="Arial" w:cs="Arial" w:eastAsia="Arial" w:hAnsi="Arial"/>
                <w:sz w:val="18"/>
                <w:szCs w:val="18"/>
                <w:color w:val="auto"/>
              </w:rPr>
              <w:t>August 31, 2018</w:t>
            </w:r>
          </w:p>
        </w:tc>
        <w:tc>
          <w:tcPr>
            <w:tcW w:w="8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$0.25</w:t>
            </w:r>
          </w:p>
        </w:tc>
      </w:tr>
      <w:tr>
        <w:trPr>
          <w:trHeight w:val="257"/>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2018</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31, 2018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November 15, 2018</w:t>
            </w:r>
          </w:p>
        </w:tc>
        <w:tc>
          <w:tcPr>
            <w:tcW w:w="8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$0.35</w:t>
            </w:r>
          </w:p>
        </w:tc>
      </w:tr>
      <w:tr>
        <w:trPr>
          <w:trHeight w:val="257"/>
        </w:trPr>
        <w:tc>
          <w:tcPr>
            <w:tcW w:w="3460" w:type="dxa"/>
            <w:vAlign w:val="bottom"/>
            <w:gridSpan w:val="2"/>
          </w:tcPr>
          <w:p>
            <w:pPr>
              <w:spacing w:after="0"/>
              <w:rPr>
                <w:sz w:val="20"/>
                <w:szCs w:val="20"/>
                <w:color w:val="auto"/>
              </w:rPr>
            </w:pPr>
            <w:r>
              <w:rPr>
                <w:rFonts w:ascii="Arial" w:cs="Arial" w:eastAsia="Arial" w:hAnsi="Arial"/>
                <w:sz w:val="18"/>
                <w:szCs w:val="18"/>
                <w:color w:val="auto"/>
              </w:rPr>
              <w:t>March 22, 2019</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March 22, 2019</w:t>
            </w:r>
          </w:p>
        </w:tc>
        <w:tc>
          <w:tcPr>
            <w:tcW w:w="1480" w:type="dxa"/>
            <w:vAlign w:val="bottom"/>
          </w:tcPr>
          <w:p>
            <w:pPr>
              <w:jc w:val="right"/>
              <w:spacing w:after="0"/>
              <w:rPr>
                <w:sz w:val="20"/>
                <w:szCs w:val="20"/>
                <w:color w:val="auto"/>
              </w:rPr>
            </w:pPr>
            <w:r>
              <w:rPr>
                <w:rFonts w:ascii="Arial" w:cs="Arial" w:eastAsia="Arial" w:hAnsi="Arial"/>
                <w:sz w:val="18"/>
                <w:szCs w:val="18"/>
                <w:color w:val="auto"/>
              </w:rPr>
              <w:t>March 26, 2019</w:t>
            </w:r>
          </w:p>
        </w:tc>
        <w:tc>
          <w:tcPr>
            <w:tcW w:w="8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$0.40</w:t>
            </w:r>
          </w:p>
        </w:tc>
      </w:tr>
      <w:tr>
        <w:trPr>
          <w:trHeight w:val="27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 2019</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May 7,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21, 2019</w:t>
            </w:r>
          </w:p>
        </w:tc>
        <w:tc>
          <w:tcPr>
            <w:tcW w:w="8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$0.45</w:t>
            </w:r>
          </w:p>
        </w:tc>
      </w:tr>
      <w:tr>
        <w:trPr>
          <w:trHeight w:val="270"/>
        </w:trPr>
        <w:tc>
          <w:tcPr>
            <w:tcW w:w="3460" w:type="dxa"/>
            <w:vAlign w:val="bottom"/>
            <w:gridSpan w:val="2"/>
          </w:tcPr>
          <w:p>
            <w:pPr>
              <w:spacing w:after="0"/>
              <w:rPr>
                <w:sz w:val="20"/>
                <w:szCs w:val="20"/>
                <w:color w:val="auto"/>
              </w:rPr>
            </w:pPr>
            <w:r>
              <w:rPr>
                <w:rFonts w:ascii="Arial" w:cs="Arial" w:eastAsia="Arial" w:hAnsi="Arial"/>
                <w:sz w:val="18"/>
                <w:szCs w:val="18"/>
                <w:color w:val="auto"/>
              </w:rPr>
              <w:t>May 2, 2019</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May 31, 2019</w:t>
            </w:r>
          </w:p>
        </w:tc>
        <w:tc>
          <w:tcPr>
            <w:tcW w:w="1480" w:type="dxa"/>
            <w:vAlign w:val="bottom"/>
          </w:tcPr>
          <w:p>
            <w:pPr>
              <w:jc w:val="right"/>
              <w:spacing w:after="0"/>
              <w:rPr>
                <w:sz w:val="20"/>
                <w:szCs w:val="20"/>
                <w:color w:val="auto"/>
              </w:rPr>
            </w:pPr>
            <w:r>
              <w:rPr>
                <w:rFonts w:ascii="Arial" w:cs="Arial" w:eastAsia="Arial" w:hAnsi="Arial"/>
                <w:sz w:val="18"/>
                <w:szCs w:val="18"/>
                <w:color w:val="auto"/>
              </w:rPr>
              <w:t>July 16, 2019</w:t>
            </w:r>
          </w:p>
        </w:tc>
        <w:tc>
          <w:tcPr>
            <w:tcW w:w="8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$0.46</w:t>
            </w:r>
          </w:p>
        </w:tc>
      </w:tr>
      <w:tr>
        <w:trPr>
          <w:trHeight w:val="27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30, 2019</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August 8,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26, 2019</w:t>
            </w:r>
          </w:p>
        </w:tc>
        <w:tc>
          <w:tcPr>
            <w:tcW w:w="8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$0.45</w:t>
            </w:r>
          </w:p>
        </w:tc>
      </w:tr>
      <w:tr>
        <w:trPr>
          <w:trHeight w:val="270"/>
        </w:trPr>
        <w:tc>
          <w:tcPr>
            <w:tcW w:w="3460" w:type="dxa"/>
            <w:vAlign w:val="bottom"/>
            <w:gridSpan w:val="2"/>
          </w:tcPr>
          <w:p>
            <w:pPr>
              <w:spacing w:after="0"/>
              <w:rPr>
                <w:sz w:val="20"/>
                <w:szCs w:val="20"/>
                <w:color w:val="auto"/>
              </w:rPr>
            </w:pPr>
            <w:r>
              <w:rPr>
                <w:rFonts w:ascii="Arial" w:cs="Arial" w:eastAsia="Arial" w:hAnsi="Arial"/>
                <w:sz w:val="18"/>
                <w:szCs w:val="18"/>
                <w:color w:val="auto"/>
              </w:rPr>
              <w:t>September 27, 2019</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September 30, 2019</w:t>
            </w:r>
          </w:p>
        </w:tc>
        <w:tc>
          <w:tcPr>
            <w:tcW w:w="1480" w:type="dxa"/>
            <w:vAlign w:val="bottom"/>
          </w:tcPr>
          <w:p>
            <w:pPr>
              <w:jc w:val="right"/>
              <w:spacing w:after="0"/>
              <w:rPr>
                <w:sz w:val="20"/>
                <w:szCs w:val="20"/>
                <w:color w:val="auto"/>
              </w:rPr>
            </w:pPr>
            <w:r>
              <w:rPr>
                <w:rFonts w:ascii="Arial" w:cs="Arial" w:eastAsia="Arial" w:hAnsi="Arial"/>
                <w:sz w:val="18"/>
                <w:szCs w:val="18"/>
                <w:color w:val="auto"/>
                <w:w w:val="91"/>
              </w:rPr>
              <w:t>November 12, 2019</w:t>
            </w:r>
          </w:p>
        </w:tc>
        <w:tc>
          <w:tcPr>
            <w:tcW w:w="8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$0.04</w:t>
            </w:r>
          </w:p>
        </w:tc>
      </w:tr>
      <w:tr>
        <w:trPr>
          <w:trHeight w:val="27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9, 2019</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December 10,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December 23, 2019</w:t>
            </w:r>
          </w:p>
        </w:tc>
        <w:tc>
          <w:tcPr>
            <w:tcW w:w="8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-1517015</wp:posOffset>
            </wp:positionV>
            <wp:extent cx="137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-1517015</wp:posOffset>
            </wp:positionV>
            <wp:extent cx="137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-1517015</wp:posOffset>
            </wp:positionV>
            <wp:extent cx="137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ind w:left="1260" w:right="679" w:firstLine="360"/>
        <w:spacing w:after="0" w:line="253" w:lineRule="auto"/>
        <w:rPr>
          <w:sz w:val="20"/>
          <w:szCs w:val="20"/>
          <w:color w:val="auto"/>
        </w:rPr>
      </w:pPr>
      <w:r>
        <w:rPr>
          <w:rFonts w:ascii="Arial" w:cs="Arial" w:eastAsia="Arial" w:hAnsi="Arial"/>
          <w:sz w:val="17"/>
          <w:szCs w:val="17"/>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We believe that our most critical accounting policies, which are those that are most important to the portrayal of our financial condition and results of operations and require management’s most difficult, subjective and complex judgments, include the valuation of investments and our election to be treated, and intent to qualify annually, as a RIC. See “Note 2 — Summary of Significant Accounting Policies” to our financial statements for the year ended December 31, 2019, which describes our critical accounting policies and recently adopted accounting pronouncements not yet required to be adopted by us.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144" w:lineRule="exact"/>
        <w:rPr>
          <w:sz w:val="20"/>
          <w:szCs w:val="20"/>
          <w:color w:val="auto"/>
        </w:rPr>
      </w:pPr>
    </w:p>
    <w:p>
      <w:pPr>
        <w:jc w:val="both"/>
        <w:ind w:left="1260" w:right="679" w:firstLine="360"/>
        <w:spacing w:after="0" w:line="248" w:lineRule="auto"/>
        <w:rPr>
          <w:sz w:val="20"/>
          <w:szCs w:val="20"/>
          <w:color w:val="auto"/>
        </w:rPr>
      </w:pPr>
      <w:r>
        <w:rPr>
          <w:rFonts w:ascii="Arial" w:cs="Arial" w:eastAsia="Arial" w:hAnsi="Arial"/>
          <w:sz w:val="18"/>
          <w:szCs w:val="18"/>
          <w:color w:val="auto"/>
        </w:rPr>
        <w:t>We measure the value of our investments at fair value in accordance with ASC Topic 820, issued by the FASB. Fair value is the price that would be received to sell an asset or paid to transfer a liability in an orderly transaction between market participants at the measurement date.</w:t>
      </w:r>
    </w:p>
    <w:p>
      <w:pPr>
        <w:spacing w:after="0" w:line="114"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7"/>
          <w:szCs w:val="17"/>
          <w:color w:val="auto"/>
        </w:rPr>
        <w:t>The Audit Committee is responsible for assisting our Board of Directors in valuing investments that are not publicly traded or for which current market values are not readily available. Investments for which market quotations are readily available are valued using market quotations, which are generally obtained from</w:t>
      </w:r>
    </w:p>
    <w:p>
      <w:pPr>
        <w:spacing w:after="0" w:line="3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38" w:lineRule="auto"/>
        <w:rPr>
          <w:sz w:val="20"/>
          <w:szCs w:val="20"/>
          <w:color w:val="auto"/>
        </w:rPr>
      </w:pPr>
      <w:r>
        <w:rPr>
          <w:rFonts w:ascii="Arial" w:cs="Arial" w:eastAsia="Arial" w:hAnsi="Arial"/>
          <w:sz w:val="18"/>
          <w:szCs w:val="18"/>
          <w:color w:val="auto"/>
        </w:rPr>
        <w:t>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 responsible for determining, in good faith, the fair value in accordance with the valuation policy approved by our Board of Directors. If more than one valuation method is used to measure fair value, the results are evaluated and weighted, as appropriate, considering the reasonableness of the range 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pacing w:after="0" w:line="110" w:lineRule="exact"/>
        <w:rPr>
          <w:sz w:val="20"/>
          <w:szCs w:val="20"/>
          <w:color w:val="auto"/>
        </w:rPr>
      </w:pPr>
    </w:p>
    <w:p>
      <w:pPr>
        <w:jc w:val="both"/>
        <w:ind w:left="1260" w:right="679" w:firstLine="360"/>
        <w:spacing w:after="0" w:line="276" w:lineRule="auto"/>
        <w:rPr>
          <w:sz w:val="20"/>
          <w:szCs w:val="20"/>
          <w:color w:val="auto"/>
        </w:rPr>
      </w:pPr>
      <w:r>
        <w:rPr>
          <w:rFonts w:ascii="Arial" w:cs="Arial" w:eastAsia="Arial" w:hAnsi="Arial"/>
          <w:sz w:val="16"/>
          <w:szCs w:val="16"/>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94" w:lineRule="exact"/>
        <w:rPr>
          <w:sz w:val="20"/>
          <w:szCs w:val="20"/>
          <w:color w:val="auto"/>
        </w:rPr>
      </w:pPr>
    </w:p>
    <w:p>
      <w:pPr>
        <w:jc w:val="both"/>
        <w:ind w:left="1260" w:right="679" w:firstLine="360"/>
        <w:spacing w:after="0" w:line="279" w:lineRule="auto"/>
        <w:rPr>
          <w:sz w:val="20"/>
          <w:szCs w:val="20"/>
          <w:color w:val="auto"/>
        </w:rPr>
      </w:pPr>
      <w:r>
        <w:rPr>
          <w:rFonts w:ascii="Arial" w:cs="Arial" w:eastAsia="Arial" w:hAnsi="Arial"/>
          <w:sz w:val="16"/>
          <w:szCs w:val="16"/>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51" w:lineRule="exact"/>
        <w:rPr>
          <w:sz w:val="20"/>
          <w:szCs w:val="20"/>
          <w:color w:val="auto"/>
        </w:rPr>
      </w:pPr>
    </w:p>
    <w:p>
      <w:pPr>
        <w:ind w:left="1800" w:right="679" w:hanging="178"/>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1 — Valuations are based on quoted prices in active markets for identical assets or liabilities that are accessible at the measurement date.</w:t>
      </w:r>
    </w:p>
    <w:p>
      <w:pPr>
        <w:spacing w:after="0" w:line="62" w:lineRule="exact"/>
        <w:rPr>
          <w:rFonts w:ascii="Arial" w:cs="Arial" w:eastAsia="Arial" w:hAnsi="Arial"/>
          <w:sz w:val="18"/>
          <w:szCs w:val="18"/>
          <w:color w:val="auto"/>
        </w:rPr>
      </w:pPr>
    </w:p>
    <w:p>
      <w:pPr>
        <w:jc w:val="both"/>
        <w:ind w:left="1800" w:right="679" w:hanging="178"/>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2 — Valuations are based on quoted prices in markets that are not active or for which all significant inputs are observable, either directly or indirectly and model-based valuation techniques for which all significant inputs are observable.</w:t>
      </w:r>
    </w:p>
    <w:p>
      <w:pPr>
        <w:spacing w:after="0" w:line="75" w:lineRule="exact"/>
        <w:rPr>
          <w:rFonts w:ascii="Arial" w:cs="Arial" w:eastAsia="Arial" w:hAnsi="Arial"/>
          <w:sz w:val="18"/>
          <w:szCs w:val="18"/>
          <w:color w:val="auto"/>
        </w:rPr>
      </w:pPr>
    </w:p>
    <w:p>
      <w:pPr>
        <w:jc w:val="both"/>
        <w:ind w:left="1800" w:right="679" w:hanging="178"/>
        <w:spacing w:after="0" w:line="296" w:lineRule="auto"/>
        <w:tabs>
          <w:tab w:leader="none" w:pos="1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80" w:lineRule="exact"/>
        <w:rPr>
          <w:sz w:val="20"/>
          <w:szCs w:val="20"/>
          <w:color w:val="auto"/>
        </w:rPr>
      </w:pPr>
    </w:p>
    <w:p>
      <w:pPr>
        <w:jc w:val="both"/>
        <w:ind w:left="1260" w:right="679" w:firstLine="360"/>
        <w:spacing w:after="0" w:line="241"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22"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7"/>
          <w:szCs w:val="17"/>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13" w:lineRule="exact"/>
        <w:rPr>
          <w:sz w:val="20"/>
          <w:szCs w:val="20"/>
          <w:color w:val="auto"/>
        </w:rPr>
      </w:pPr>
    </w:p>
    <w:p>
      <w:pPr>
        <w:jc w:val="both"/>
        <w:ind w:left="1260" w:right="679" w:firstLine="360"/>
        <w:spacing w:after="0" w:line="261"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49" w:lineRule="exact"/>
        <w:rPr>
          <w:sz w:val="20"/>
          <w:szCs w:val="20"/>
          <w:color w:val="auto"/>
        </w:rPr>
      </w:pPr>
    </w:p>
    <w:p>
      <w:pPr>
        <w:ind w:left="1800" w:right="679" w:hanging="178"/>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investment being initially valued by RGC’s investment professionals that are responsible for the portfolio investment;</w:t>
      </w:r>
    </w:p>
    <w:p>
      <w:pPr>
        <w:spacing w:after="0" w:line="62"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679" w:hanging="178"/>
        <w:spacing w:after="0" w:line="259"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an independent valuation firm. Certain investments, however, may not be evaluated by an independent valuation firm unless the net asset value and other aspects of such investments in the aggregate exceed certain thresholds;</w:t>
      </w:r>
    </w:p>
    <w:p>
      <w:pPr>
        <w:spacing w:after="0" w:line="65" w:lineRule="exact"/>
        <w:rPr>
          <w:rFonts w:ascii="Arial" w:cs="Arial" w:eastAsia="Arial" w:hAnsi="Arial"/>
          <w:sz w:val="18"/>
          <w:szCs w:val="18"/>
          <w:color w:val="auto"/>
        </w:rPr>
      </w:pPr>
    </w:p>
    <w:p>
      <w:pPr>
        <w:jc w:val="both"/>
        <w:ind w:left="1800" w:right="679" w:hanging="178"/>
        <w:spacing w:after="0" w:line="263"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our Board of Directors regarding such valuations; and</w:t>
      </w:r>
    </w:p>
    <w:p>
      <w:pPr>
        <w:spacing w:after="0" w:line="75" w:lineRule="exact"/>
        <w:rPr>
          <w:rFonts w:ascii="Arial" w:cs="Arial" w:eastAsia="Arial" w:hAnsi="Arial"/>
          <w:sz w:val="18"/>
          <w:szCs w:val="18"/>
          <w:color w:val="auto"/>
        </w:rPr>
      </w:pPr>
    </w:p>
    <w:p>
      <w:pPr>
        <w:jc w:val="both"/>
        <w:ind w:left="1800" w:right="679" w:hanging="178"/>
        <w:spacing w:after="0" w:line="263"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Board of Directors reviews the recommended preliminary valuations and determines the fair value of each investment in our portfolio, in good faith, based on the input of RGC, the applicable independent valuation firm and the Audit Committee.</w:t>
      </w:r>
    </w:p>
    <w:p>
      <w:pPr>
        <w:spacing w:after="0" w:line="116"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7"/>
          <w:szCs w:val="17"/>
          <w:color w:val="auto"/>
        </w:rPr>
        <w:t>Our investments are primarily loans made to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left="1260" w:right="679" w:firstLine="360"/>
        <w:spacing w:after="0" w:line="272" w:lineRule="auto"/>
        <w:rPr>
          <w:sz w:val="20"/>
          <w:szCs w:val="20"/>
          <w:color w:val="auto"/>
        </w:rPr>
      </w:pPr>
      <w:r>
        <w:rPr>
          <w:rFonts w:ascii="Arial" w:cs="Arial" w:eastAsia="Arial" w:hAnsi="Arial"/>
          <w:sz w:val="16"/>
          <w:szCs w:val="16"/>
          <w:i w:val="1"/>
          <w:iCs w:val="1"/>
          <w:color w:val="auto"/>
        </w:rPr>
        <w:t xml:space="preserve">Debt Investments. </w:t>
      </w:r>
      <w:r>
        <w:rPr>
          <w:rFonts w:ascii="Arial" w:cs="Arial" w:eastAsia="Arial" w:hAnsi="Arial"/>
          <w:sz w:val="16"/>
          <w:szCs w:val="16"/>
          <w:color w:val="auto"/>
        </w:rPr>
        <w:t>To determine the fair value of our debt investments, we compare the cost basis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debt investment, which 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87" w:lineRule="exact"/>
        <w:rPr>
          <w:sz w:val="20"/>
          <w:szCs w:val="20"/>
          <w:color w:val="auto"/>
        </w:rPr>
      </w:pPr>
    </w:p>
    <w:p>
      <w:pPr>
        <w:jc w:val="both"/>
        <w:ind w:left="1260" w:right="679" w:firstLine="360"/>
        <w:spacing w:after="0" w:line="274" w:lineRule="auto"/>
        <w:rPr>
          <w:sz w:val="20"/>
          <w:szCs w:val="20"/>
          <w:color w:val="auto"/>
        </w:rPr>
      </w:pPr>
      <w:r>
        <w:rPr>
          <w:rFonts w:ascii="Arial" w:cs="Arial" w:eastAsia="Arial" w:hAnsi="Arial"/>
          <w:sz w:val="16"/>
          <w:szCs w:val="16"/>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but a significantly higher or lower fair value measurement of any of the Company’s portfolio investments may occur regardless of whether there is a significant increase or decrease in these unobservable inputs.</w:t>
      </w:r>
    </w:p>
    <w:p>
      <w:pPr>
        <w:spacing w:after="0" w:line="96" w:lineRule="exact"/>
        <w:rPr>
          <w:sz w:val="20"/>
          <w:szCs w:val="20"/>
          <w:color w:val="auto"/>
        </w:rPr>
      </w:pPr>
    </w:p>
    <w:p>
      <w:pPr>
        <w:jc w:val="both"/>
        <w:ind w:left="1260" w:right="679" w:firstLine="360"/>
        <w:spacing w:after="0" w:line="241" w:lineRule="auto"/>
        <w:rPr>
          <w:sz w:val="20"/>
          <w:szCs w:val="20"/>
          <w:color w:val="auto"/>
        </w:rPr>
      </w:pPr>
      <w:r>
        <w:rPr>
          <w:rFonts w:ascii="Arial" w:cs="Arial" w:eastAsia="Arial" w:hAnsi="Arial"/>
          <w:sz w:val="18"/>
          <w:szCs w:val="18"/>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89" w:lineRule="exact"/>
        <w:rPr>
          <w:sz w:val="20"/>
          <w:szCs w:val="20"/>
          <w:color w:val="auto"/>
        </w:rPr>
      </w:pPr>
    </w:p>
    <w:p>
      <w:pPr>
        <w:jc w:val="both"/>
        <w:ind w:left="1260" w:right="679" w:firstLine="360"/>
        <w:spacing w:after="0" w:line="248"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Fair value of warrants is primarily determined using a Black Scholes option-pricing model.</w:t>
      </w:r>
      <w:r>
        <w:rPr>
          <w:rFonts w:ascii="Arial" w:cs="Arial" w:eastAsia="Arial" w:hAnsi="Arial"/>
          <w:sz w:val="18"/>
          <w:szCs w:val="18"/>
          <w:i w:val="1"/>
          <w:iCs w:val="1"/>
          <w:color w:val="auto"/>
        </w:rPr>
        <w:t xml:space="preserve"> </w:t>
      </w:r>
      <w:r>
        <w:rPr>
          <w:rFonts w:ascii="Arial" w:cs="Arial" w:eastAsia="Arial" w:hAnsi="Arial"/>
          <w:sz w:val="18"/>
          <w:szCs w:val="18"/>
          <w:color w:val="auto"/>
        </w:rPr>
        <w:t>Privately held warrants and equity-related securities are valued based on an analysis of various factors including, but not limited to, the following:</w:t>
      </w:r>
    </w:p>
    <w:p>
      <w:pPr>
        <w:spacing w:after="0" w:line="74" w:lineRule="exact"/>
        <w:rPr>
          <w:sz w:val="20"/>
          <w:szCs w:val="20"/>
          <w:color w:val="auto"/>
        </w:rPr>
      </w:pPr>
    </w:p>
    <w:p>
      <w:pPr>
        <w:jc w:val="both"/>
        <w:ind w:left="1800" w:right="679" w:hanging="178"/>
        <w:spacing w:after="0" w:line="288" w:lineRule="auto"/>
        <w:tabs>
          <w:tab w:leader="none" w:pos="1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3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679" w:hanging="178"/>
        <w:spacing w:after="0" w:line="255"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84" w:lineRule="exact"/>
        <w:rPr>
          <w:rFonts w:ascii="Arial" w:cs="Arial" w:eastAsia="Arial" w:hAnsi="Arial"/>
          <w:sz w:val="18"/>
          <w:szCs w:val="18"/>
          <w:color w:val="auto"/>
        </w:rPr>
      </w:pPr>
    </w:p>
    <w:p>
      <w:pPr>
        <w:jc w:val="both"/>
        <w:ind w:left="1800" w:right="679" w:hanging="178"/>
        <w:spacing w:after="0" w:line="273" w:lineRule="auto"/>
        <w:tabs>
          <w:tab w:leader="none" w:pos="1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69" w:lineRule="exact"/>
        <w:rPr>
          <w:rFonts w:ascii="Arial" w:cs="Arial" w:eastAsia="Arial" w:hAnsi="Arial"/>
          <w:sz w:val="17"/>
          <w:szCs w:val="17"/>
          <w:color w:val="auto"/>
        </w:rPr>
      </w:pPr>
    </w:p>
    <w:p>
      <w:pPr>
        <w:jc w:val="both"/>
        <w:ind w:left="1800" w:right="679" w:hanging="178"/>
        <w:spacing w:after="0" w:line="275" w:lineRule="auto"/>
        <w:tabs>
          <w:tab w:leader="none" w:pos="1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68" w:lineRule="exact"/>
        <w:rPr>
          <w:rFonts w:ascii="Arial" w:cs="Arial" w:eastAsia="Arial" w:hAnsi="Arial"/>
          <w:sz w:val="17"/>
          <w:szCs w:val="17"/>
          <w:color w:val="auto"/>
        </w:rPr>
      </w:pPr>
    </w:p>
    <w:p>
      <w:pPr>
        <w:jc w:val="both"/>
        <w:ind w:left="1800" w:right="679" w:hanging="178"/>
        <w:spacing w:after="0" w:line="290" w:lineRule="auto"/>
        <w:tabs>
          <w:tab w:leader="none" w:pos="18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or decreases in this unobservable input could result in a significantly higher or lower fair value, but a significantly higher or lower fair value measurement of any of the Company’s portfolio investments may occur regardless of whether there is a significant increase or decrease in this unobservable input.</w:t>
      </w:r>
    </w:p>
    <w:p>
      <w:pPr>
        <w:spacing w:after="0" w:line="98" w:lineRule="exact"/>
        <w:rPr>
          <w:sz w:val="20"/>
          <w:szCs w:val="20"/>
          <w:color w:val="auto"/>
        </w:rPr>
      </w:pPr>
    </w:p>
    <w:p>
      <w:pPr>
        <w:jc w:val="both"/>
        <w:ind w:left="1260" w:right="679" w:firstLine="360"/>
        <w:spacing w:after="0" w:line="296" w:lineRule="auto"/>
        <w:rPr>
          <w:sz w:val="20"/>
          <w:szCs w:val="20"/>
          <w:color w:val="auto"/>
        </w:rPr>
      </w:pPr>
      <w:r>
        <w:rPr>
          <w:rFonts w:ascii="Arial" w:cs="Arial" w:eastAsia="Arial" w:hAnsi="Arial"/>
          <w:sz w:val="16"/>
          <w:szCs w:val="16"/>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94" w:lineRule="exact"/>
        <w:rPr>
          <w:sz w:val="20"/>
          <w:szCs w:val="20"/>
          <w:color w:val="auto"/>
        </w:rPr>
      </w:pPr>
    </w:p>
    <w:p>
      <w:pPr>
        <w:jc w:val="both"/>
        <w:ind w:left="1260" w:right="679" w:firstLine="360"/>
        <w:spacing w:after="0" w:line="293" w:lineRule="auto"/>
        <w:rPr>
          <w:sz w:val="20"/>
          <w:szCs w:val="20"/>
          <w:color w:val="auto"/>
        </w:rPr>
      </w:pPr>
      <w:r>
        <w:rPr>
          <w:rFonts w:ascii="Arial" w:cs="Arial" w:eastAsia="Arial" w:hAnsi="Arial"/>
          <w:sz w:val="16"/>
          <w:szCs w:val="16"/>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64" w:lineRule="exact"/>
        <w:rPr>
          <w:sz w:val="20"/>
          <w:szCs w:val="20"/>
          <w:color w:val="auto"/>
        </w:rPr>
      </w:pPr>
    </w:p>
    <w:p>
      <w:pPr>
        <w:jc w:val="both"/>
        <w:ind w:left="1260" w:right="679" w:firstLine="360"/>
        <w:spacing w:after="0" w:line="268"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the amount invested. We adjust 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Company’s assets measured at fair value on a recurring basis subject to the requirements of ASC Topic</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820 at December 31, 2019 and 2018 were as follows: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6"/>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1000" w:type="dxa"/>
            <w:vAlign w:val="bottom"/>
          </w:tcPr>
          <w:p>
            <w:pPr>
              <w:spacing w:after="0"/>
              <w:rPr>
                <w:sz w:val="16"/>
                <w:szCs w:val="16"/>
                <w:color w:val="auto"/>
              </w:rPr>
            </w:pPr>
          </w:p>
        </w:tc>
      </w:tr>
      <w:tr>
        <w:trPr>
          <w:trHeight w:val="26"/>
        </w:trPr>
        <w:tc>
          <w:tcPr>
            <w:tcW w:w="4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6"/>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7"/>
        </w:trPr>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53"/>
              <w:spacing w:after="0"/>
              <w:rPr>
                <w:sz w:val="20"/>
                <w:szCs w:val="20"/>
                <w:color w:val="auto"/>
              </w:rPr>
            </w:pPr>
            <w:r>
              <w:rPr>
                <w:rFonts w:ascii="Arial" w:cs="Arial" w:eastAsia="Arial" w:hAnsi="Arial"/>
                <w:sz w:val="14"/>
                <w:szCs w:val="14"/>
                <w:b w:val="1"/>
                <w:bCs w:val="1"/>
                <w:color w:val="auto"/>
              </w:rPr>
              <w:t>Level 1</w:t>
            </w:r>
          </w:p>
        </w:tc>
        <w:tc>
          <w:tcPr>
            <w:tcW w:w="900" w:type="dxa"/>
            <w:vAlign w:val="bottom"/>
            <w:gridSpan w:val="6"/>
          </w:tcPr>
          <w:p>
            <w:pPr>
              <w:ind w:left="200"/>
              <w:spacing w:after="0"/>
              <w:rPr>
                <w:sz w:val="20"/>
                <w:szCs w:val="20"/>
                <w:color w:val="auto"/>
              </w:rPr>
            </w:pPr>
            <w:r>
              <w:rPr>
                <w:rFonts w:ascii="Arial" w:cs="Arial" w:eastAsia="Arial" w:hAnsi="Arial"/>
                <w:sz w:val="14"/>
                <w:szCs w:val="14"/>
                <w:b w:val="1"/>
                <w:bCs w:val="1"/>
                <w:color w:val="auto"/>
              </w:rPr>
              <w:t>Level 2</w:t>
            </w:r>
          </w:p>
        </w:tc>
        <w:tc>
          <w:tcPr>
            <w:tcW w:w="1220" w:type="dxa"/>
            <w:vAlign w:val="bottom"/>
            <w:gridSpan w:val="3"/>
          </w:tcPr>
          <w:p>
            <w:pPr>
              <w:ind w:left="260"/>
              <w:spacing w:after="0"/>
              <w:rPr>
                <w:sz w:val="20"/>
                <w:szCs w:val="20"/>
                <w:color w:val="auto"/>
              </w:rPr>
            </w:pPr>
            <w:r>
              <w:rPr>
                <w:rFonts w:ascii="Arial" w:cs="Arial" w:eastAsia="Arial" w:hAnsi="Arial"/>
                <w:sz w:val="14"/>
                <w:szCs w:val="14"/>
                <w:b w:val="1"/>
                <w:bCs w:val="1"/>
                <w:color w:val="auto"/>
              </w:rPr>
              <w:t>Level 3</w:t>
            </w: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6"/>
        </w:trPr>
        <w:tc>
          <w:tcPr>
            <w:tcW w:w="4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57"/>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Senior Secured Term 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7"/>
              </w:rPr>
              <w:t>$349,570,424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$349,570,424</w:t>
            </w:r>
          </w:p>
        </w:tc>
      </w:tr>
      <w:tr>
        <w:trPr>
          <w:trHeight w:val="257"/>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437,515</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437,515</w:t>
            </w:r>
          </w:p>
        </w:tc>
      </w:tr>
      <w:tr>
        <w:trPr>
          <w:trHeight w:val="263"/>
        </w:trPr>
        <w:tc>
          <w:tcPr>
            <w:tcW w:w="4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Warrants</w:t>
            </w: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gridSpan w:val="2"/>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18,008,337</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18,008,337</w:t>
            </w:r>
          </w:p>
        </w:tc>
      </w:tr>
      <w:tr>
        <w:trPr>
          <w:trHeight w:val="257"/>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368,016,276</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368,016,276</w:t>
            </w:r>
          </w:p>
        </w:tc>
      </w:tr>
      <w:tr>
        <w:trPr>
          <w:trHeight w:val="26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U.S. Treasury Bill</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99,965,423</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gridSpan w:val="2"/>
          </w:tcPr>
          <w:p>
            <w:pPr>
              <w:spacing w:after="0"/>
              <w:rPr>
                <w:sz w:val="22"/>
                <w:szCs w:val="22"/>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99,965,423</w:t>
            </w:r>
          </w:p>
        </w:tc>
      </w:tr>
      <w:tr>
        <w:trPr>
          <w:trHeight w:val="257"/>
        </w:trPr>
        <w:tc>
          <w:tcPr>
            <w:tcW w:w="4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99,965,423</w:t>
            </w:r>
          </w:p>
        </w:tc>
        <w:tc>
          <w:tcPr>
            <w:tcW w:w="22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368,016,276</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467,981,699</w:t>
            </w: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41"/>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6"/>
          </w:tcPr>
          <w:p>
            <w:pPr>
              <w:ind w:left="20"/>
              <w:spacing w:after="0"/>
              <w:rPr>
                <w:sz w:val="20"/>
                <w:szCs w:val="20"/>
                <w:color w:val="auto"/>
              </w:rPr>
            </w:pPr>
            <w:r>
              <w:rPr>
                <w:rFonts w:ascii="Arial" w:cs="Arial" w:eastAsia="Arial" w:hAnsi="Arial"/>
                <w:sz w:val="14"/>
                <w:szCs w:val="14"/>
                <w:b w:val="1"/>
                <w:bCs w:val="1"/>
                <w:color w:val="auto"/>
              </w:rPr>
              <w:t>As of December 31, 2018</w:t>
            </w:r>
          </w:p>
        </w:tc>
        <w:tc>
          <w:tcPr>
            <w:tcW w:w="1000" w:type="dxa"/>
            <w:vAlign w:val="bottom"/>
          </w:tcPr>
          <w:p>
            <w:pPr>
              <w:spacing w:after="0"/>
              <w:rPr>
                <w:sz w:val="24"/>
                <w:szCs w:val="24"/>
                <w:color w:val="auto"/>
              </w:rPr>
            </w:pPr>
          </w:p>
        </w:tc>
      </w:tr>
      <w:tr>
        <w:trPr>
          <w:trHeight w:val="26"/>
        </w:trPr>
        <w:tc>
          <w:tcPr>
            <w:tcW w:w="4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6"/>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8"/>
        </w:trPr>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53"/>
              <w:spacing w:after="0"/>
              <w:rPr>
                <w:sz w:val="20"/>
                <w:szCs w:val="20"/>
                <w:color w:val="auto"/>
              </w:rPr>
            </w:pPr>
            <w:r>
              <w:rPr>
                <w:rFonts w:ascii="Arial" w:cs="Arial" w:eastAsia="Arial" w:hAnsi="Arial"/>
                <w:sz w:val="14"/>
                <w:szCs w:val="14"/>
                <w:b w:val="1"/>
                <w:bCs w:val="1"/>
                <w:color w:val="auto"/>
              </w:rPr>
              <w:t>Level 1</w:t>
            </w:r>
          </w:p>
        </w:tc>
        <w:tc>
          <w:tcPr>
            <w:tcW w:w="900" w:type="dxa"/>
            <w:vAlign w:val="bottom"/>
            <w:gridSpan w:val="6"/>
          </w:tcPr>
          <w:p>
            <w:pPr>
              <w:ind w:left="200"/>
              <w:spacing w:after="0"/>
              <w:rPr>
                <w:sz w:val="20"/>
                <w:szCs w:val="20"/>
                <w:color w:val="auto"/>
              </w:rPr>
            </w:pPr>
            <w:r>
              <w:rPr>
                <w:rFonts w:ascii="Arial" w:cs="Arial" w:eastAsia="Arial" w:hAnsi="Arial"/>
                <w:sz w:val="14"/>
                <w:szCs w:val="14"/>
                <w:b w:val="1"/>
                <w:bCs w:val="1"/>
                <w:color w:val="auto"/>
              </w:rPr>
              <w:t>Level 2</w:t>
            </w:r>
          </w:p>
        </w:tc>
        <w:tc>
          <w:tcPr>
            <w:tcW w:w="1220" w:type="dxa"/>
            <w:vAlign w:val="bottom"/>
            <w:gridSpan w:val="3"/>
          </w:tcPr>
          <w:p>
            <w:pPr>
              <w:ind w:left="260"/>
              <w:spacing w:after="0"/>
              <w:rPr>
                <w:sz w:val="20"/>
                <w:szCs w:val="20"/>
                <w:color w:val="auto"/>
              </w:rPr>
            </w:pPr>
            <w:r>
              <w:rPr>
                <w:rFonts w:ascii="Arial" w:cs="Arial" w:eastAsia="Arial" w:hAnsi="Arial"/>
                <w:sz w:val="14"/>
                <w:szCs w:val="14"/>
                <w:b w:val="1"/>
                <w:bCs w:val="1"/>
                <w:color w:val="auto"/>
              </w:rPr>
              <w:t>Level 3</w:t>
            </w: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6"/>
        </w:trPr>
        <w:tc>
          <w:tcPr>
            <w:tcW w:w="4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57"/>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Senior Secured Term 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7"/>
              </w:rPr>
              <w:t>$208,539,353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$208,539,353</w:t>
            </w:r>
          </w:p>
        </w:tc>
      </w:tr>
      <w:tr>
        <w:trPr>
          <w:trHeight w:val="25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Secured Term Loans</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461,826</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461,826</w:t>
            </w:r>
          </w:p>
        </w:tc>
      </w:tr>
      <w:tr>
        <w:trPr>
          <w:trHeight w:val="264"/>
        </w:trPr>
        <w:tc>
          <w:tcPr>
            <w:tcW w:w="4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Warrants</w:t>
            </w: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gridSpan w:val="2"/>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15,247,210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15,247,210</w:t>
            </w:r>
          </w:p>
        </w:tc>
      </w:tr>
      <w:tr>
        <w:trPr>
          <w:trHeight w:val="25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224,248,389</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224,248,389</w:t>
            </w:r>
          </w:p>
        </w:tc>
      </w:tr>
      <w:tr>
        <w:trPr>
          <w:trHeight w:val="26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U.S. Treasury Bill</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79,959,928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gridSpan w:val="2"/>
          </w:tcPr>
          <w:p>
            <w:pPr>
              <w:spacing w:after="0"/>
              <w:rPr>
                <w:sz w:val="22"/>
                <w:szCs w:val="22"/>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79,959,928</w:t>
            </w:r>
          </w:p>
        </w:tc>
      </w:tr>
      <w:tr>
        <w:trPr>
          <w:trHeight w:val="264"/>
        </w:trPr>
        <w:tc>
          <w:tcPr>
            <w:tcW w:w="4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79,959,928</w:t>
            </w:r>
          </w:p>
        </w:tc>
        <w:tc>
          <w:tcPr>
            <w:tcW w:w="22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$224,248,389</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$304,208,317</w:t>
            </w: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-1876425</wp:posOffset>
            </wp:positionV>
            <wp:extent cx="1454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-1876425</wp:posOffset>
            </wp:positionV>
            <wp:extent cx="1460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-1876425</wp:posOffset>
            </wp:positionV>
            <wp:extent cx="33775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7756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-2219325</wp:posOffset>
            </wp:positionV>
            <wp:extent cx="1454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-2219325</wp:posOffset>
            </wp:positionV>
            <wp:extent cx="1460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-2219325</wp:posOffset>
            </wp:positionV>
            <wp:extent cx="33775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7756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-2887980</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-2887980</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-2887980</wp:posOffset>
            </wp:positionV>
            <wp:extent cx="33686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867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-205105</wp:posOffset>
            </wp:positionV>
            <wp:extent cx="1454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-205105</wp:posOffset>
            </wp:positionV>
            <wp:extent cx="1460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33775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7756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-548005</wp:posOffset>
            </wp:positionV>
            <wp:extent cx="1454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-548005</wp:posOffset>
            </wp:positionV>
            <wp:extent cx="1460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-548005</wp:posOffset>
            </wp:positionV>
            <wp:extent cx="33775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7756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-1216660</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-1216660</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-1216660</wp:posOffset>
            </wp:positionV>
            <wp:extent cx="33686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95" w:lineRule="exact"/>
        <w:rPr>
          <w:sz w:val="20"/>
          <w:szCs w:val="20"/>
          <w:color w:val="auto"/>
        </w:rPr>
      </w:pPr>
    </w:p>
    <w:p>
      <w:pPr>
        <w:jc w:val="both"/>
        <w:ind w:left="1260" w:right="679" w:firstLine="360"/>
        <w:spacing w:after="0" w:line="342" w:lineRule="auto"/>
        <w:rPr>
          <w:sz w:val="20"/>
          <w:szCs w:val="20"/>
          <w:color w:val="auto"/>
        </w:rPr>
      </w:pPr>
      <w:r>
        <w:rPr>
          <w:rFonts w:ascii="Arial" w:cs="Arial" w:eastAsia="Arial" w:hAnsi="Arial"/>
          <w:sz w:val="16"/>
          <w:szCs w:val="16"/>
          <w:color w:val="auto"/>
        </w:rPr>
        <w:t>The Company recognized transfers into and out of the levels indicated above at the end of the reporting period. There were no transfers into or out of the levels during the years ended December 31, 2019 and 2018.</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158" w:lineRule="exact"/>
        <w:rPr>
          <w:sz w:val="20"/>
          <w:szCs w:val="20"/>
          <w:color w:val="auto"/>
        </w:rPr>
      </w:pPr>
    </w:p>
    <w:p>
      <w:pPr>
        <w:jc w:val="both"/>
        <w:ind w:left="1260" w:right="679" w:firstLine="360"/>
        <w:spacing w:after="0" w:line="296" w:lineRule="auto"/>
        <w:rPr>
          <w:sz w:val="20"/>
          <w:szCs w:val="20"/>
          <w:color w:val="auto"/>
        </w:rPr>
      </w:pPr>
      <w:r>
        <w:rPr>
          <w:rFonts w:ascii="Arial" w:cs="Arial" w:eastAsia="Arial" w:hAnsi="Arial"/>
          <w:sz w:val="16"/>
          <w:szCs w:val="16"/>
          <w:color w:val="auto"/>
        </w:rPr>
        <w:t>Security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 investments that are measured at fair value as a component of net change in unrealized appreciation (depreciation) on investments in the statement of operations.</w:t>
      </w:r>
    </w:p>
    <w:p>
      <w:pPr>
        <w:spacing w:after="0" w:line="94" w:lineRule="exact"/>
        <w:rPr>
          <w:sz w:val="20"/>
          <w:szCs w:val="20"/>
          <w:color w:val="auto"/>
        </w:rPr>
      </w:pPr>
    </w:p>
    <w:p>
      <w:pPr>
        <w:jc w:val="both"/>
        <w:ind w:left="1260" w:right="679" w:firstLine="360"/>
        <w:spacing w:after="0" w:line="288" w:lineRule="auto"/>
        <w:rPr>
          <w:sz w:val="20"/>
          <w:szCs w:val="20"/>
          <w:color w:val="auto"/>
        </w:rPr>
      </w:pPr>
      <w:r>
        <w:rPr>
          <w:rFonts w:ascii="Arial" w:cs="Arial" w:eastAsia="Arial" w:hAnsi="Arial"/>
          <w:sz w:val="16"/>
          <w:szCs w:val="16"/>
          <w:color w:val="auto"/>
        </w:rPr>
        <w:t>Dividends are recorded on the ex-dividend date. Interest income, if any, adjusted for amortization of market premium and accretion of market discount, is recorded on an accrual basis to the extent that we expect to collect such amounts. Original issue discount, principally representing the estimated fair value of detachable equity or warrants obtained in conjunction with our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over the contractual life of the loan based on the effective interest method. Upon prepayment of a loan or debt security, any prepayment penalties, unamortized loan origination fees, end of term payments and unamortized market discounts are recorded as interest income.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Management and Incentive Fees</w:t>
      </w:r>
    </w:p>
    <w:p>
      <w:pPr>
        <w:spacing w:after="0" w:line="144" w:lineRule="exact"/>
        <w:rPr>
          <w:sz w:val="20"/>
          <w:szCs w:val="20"/>
          <w:color w:val="auto"/>
        </w:rPr>
      </w:pPr>
    </w:p>
    <w:p>
      <w:pPr>
        <w:jc w:val="both"/>
        <w:ind w:left="1260" w:right="679" w:firstLine="360"/>
        <w:spacing w:after="0" w:line="308" w:lineRule="auto"/>
        <w:rPr>
          <w:sz w:val="20"/>
          <w:szCs w:val="20"/>
          <w:color w:val="auto"/>
        </w:rPr>
      </w:pPr>
      <w:r>
        <w:rPr>
          <w:rFonts w:ascii="Arial" w:cs="Arial" w:eastAsia="Arial" w:hAnsi="Arial"/>
          <w:sz w:val="17"/>
          <w:szCs w:val="17"/>
          <w:color w:val="auto"/>
        </w:rPr>
        <w:t>We accrue for base management fees and incentive fees. The accrual for incentive fees includes the recognition of incentive fees on unrealized capital gains, even though such incentive fees are neither earned</w:t>
      </w:r>
    </w:p>
    <w:p>
      <w:pPr>
        <w:spacing w:after="0" w:line="33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94" w:lineRule="auto"/>
        <w:rPr>
          <w:sz w:val="20"/>
          <w:szCs w:val="20"/>
          <w:color w:val="auto"/>
        </w:rPr>
      </w:pPr>
      <w:r>
        <w:rPr>
          <w:rFonts w:ascii="Arial" w:cs="Arial" w:eastAsia="Arial" w:hAnsi="Arial"/>
          <w:sz w:val="16"/>
          <w:szCs w:val="16"/>
          <w:color w:val="auto"/>
        </w:rPr>
        <w:t>nor payable to RGC until the gains are both realized and in excess of unrealized depreciation on investments. See “Note 7 — Related Party Agreements and Transactions” to our financial statements in Part II, Item 8 of this Form 10-K for more information on the Amended Advisory Agreement and the fee structure thereunder.</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ind w:left="1260" w:right="659" w:firstLine="360"/>
        <w:spacing w:after="0" w:line="253" w:lineRule="auto"/>
        <w:rPr>
          <w:sz w:val="20"/>
          <w:szCs w:val="20"/>
          <w:color w:val="auto"/>
        </w:rPr>
      </w:pPr>
      <w:r>
        <w:rPr>
          <w:rFonts w:ascii="Arial" w:cs="Arial" w:eastAsia="Arial" w:hAnsi="Arial"/>
          <w:sz w:val="17"/>
          <w:szCs w:val="17"/>
          <w:color w:val="auto"/>
        </w:rPr>
        <w:t>We have elected to be treated, have qualified, currently qualify and intend to qualify annually, as a RIC under Subchapter M of the Code. Generally, a RIC is not subject to U.S. federal income taxes on distributed income and gains if it distributes at least 90% of its net ordinary income and net short-term capital gains in excess of its net long-term capital losses, if any, to its stockholders. So long as we qualify, and maintain our status, as a RIC, we generally will not pay corporate-level U.S. federal income taxes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Subsequent to December 31, 2019, through March 19, 2020, we funded the following transactions: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Cost Allocated</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1"/>
              </w:rPr>
              <w:t>Cost Allocated</w:t>
            </w:r>
          </w:p>
        </w:tc>
      </w:tr>
      <w:tr>
        <w:trPr>
          <w:trHeight w:val="186"/>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Investment Name</w:t>
            </w:r>
          </w:p>
        </w:tc>
        <w:tc>
          <w:tcPr>
            <w:tcW w:w="1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 Loan</w:t>
            </w: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 Warrant</w:t>
            </w:r>
          </w:p>
        </w:tc>
      </w:tr>
      <w:tr>
        <w:trPr>
          <w:trHeight w:val="26"/>
        </w:trPr>
        <w:tc>
          <w:tcPr>
            <w:tcW w:w="3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7, 2020</w:t>
            </w: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 Sesame,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43,637,431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43,212,631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424,800</w:t>
            </w:r>
          </w:p>
        </w:tc>
      </w:tr>
      <w:tr>
        <w:trPr>
          <w:trHeight w:val="257"/>
        </w:trPr>
        <w:tc>
          <w:tcPr>
            <w:tcW w:w="3360" w:type="dxa"/>
            <w:vAlign w:val="bottom"/>
            <w:gridSpan w:val="2"/>
          </w:tcPr>
          <w:p>
            <w:pPr>
              <w:spacing w:after="0"/>
              <w:rPr>
                <w:sz w:val="20"/>
                <w:szCs w:val="20"/>
                <w:color w:val="auto"/>
              </w:rPr>
            </w:pPr>
            <w:r>
              <w:rPr>
                <w:rFonts w:ascii="Arial" w:cs="Arial" w:eastAsia="Arial" w:hAnsi="Arial"/>
                <w:sz w:val="18"/>
                <w:szCs w:val="18"/>
                <w:color w:val="auto"/>
              </w:rPr>
              <w:t>January 30, 2020</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Aginity,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350,000</w:t>
            </w:r>
          </w:p>
        </w:tc>
        <w:tc>
          <w:tcPr>
            <w:tcW w:w="2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350,000</w:t>
            </w:r>
          </w:p>
        </w:tc>
        <w:tc>
          <w:tcPr>
            <w:tcW w:w="200" w:type="dxa"/>
            <w:vAlign w:val="bottom"/>
          </w:tcPr>
          <w:p>
            <w:pPr>
              <w:spacing w:after="0"/>
              <w:rPr>
                <w:sz w:val="22"/>
                <w:szCs w:val="22"/>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9, 2020</w:t>
            </w:r>
          </w:p>
        </w:tc>
        <w:tc>
          <w:tcPr>
            <w:tcW w:w="1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Aginity,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3360" w:type="dxa"/>
            <w:vAlign w:val="bottom"/>
            <w:gridSpan w:val="2"/>
          </w:tcPr>
          <w:p>
            <w:pPr>
              <w:spacing w:after="0"/>
              <w:rPr>
                <w:sz w:val="20"/>
                <w:szCs w:val="20"/>
                <w:color w:val="auto"/>
              </w:rPr>
            </w:pPr>
            <w:r>
              <w:rPr>
                <w:rFonts w:ascii="Arial" w:cs="Arial" w:eastAsia="Arial" w:hAnsi="Arial"/>
                <w:sz w:val="18"/>
                <w:szCs w:val="18"/>
                <w:color w:val="auto"/>
              </w:rPr>
              <w:t>March 10, 2020</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Aginity,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421,861</w:t>
            </w:r>
          </w:p>
        </w:tc>
        <w:tc>
          <w:tcPr>
            <w:tcW w:w="2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421,861</w:t>
            </w:r>
          </w:p>
        </w:tc>
        <w:tc>
          <w:tcPr>
            <w:tcW w:w="200" w:type="dxa"/>
            <w:vAlign w:val="bottom"/>
          </w:tcPr>
          <w:p>
            <w:pPr>
              <w:spacing w:after="0"/>
              <w:rPr>
                <w:sz w:val="22"/>
                <w:szCs w:val="22"/>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Longtail Ad</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6"/>
        </w:trPr>
        <w:tc>
          <w:tcPr>
            <w:tcW w:w="3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Solutions, Inc.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16, 2020</w:t>
            </w:r>
          </w:p>
        </w:tc>
        <w:tc>
          <w:tcPr>
            <w:tcW w:w="1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(dba JW Player)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5,000,000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5,000,000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-1105535</wp:posOffset>
            </wp:positionV>
            <wp:extent cx="137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-1105535</wp:posOffset>
            </wp:positionV>
            <wp:extent cx="137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-1105535</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-1105535</wp:posOffset>
            </wp:positionV>
            <wp:extent cx="137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01" w:lineRule="exact"/>
        <w:rPr>
          <w:sz w:val="20"/>
          <w:szCs w:val="20"/>
          <w:color w:val="auto"/>
        </w:rPr>
      </w:pPr>
    </w:p>
    <w:p>
      <w:pPr>
        <w:jc w:val="both"/>
        <w:ind w:left="1260" w:right="679" w:firstLine="360"/>
        <w:spacing w:after="0"/>
        <w:rPr>
          <w:sz w:val="20"/>
          <w:szCs w:val="20"/>
          <w:color w:val="auto"/>
        </w:rPr>
      </w:pPr>
      <w:r>
        <w:rPr>
          <w:rFonts w:ascii="Arial" w:cs="Arial" w:eastAsia="Arial" w:hAnsi="Arial"/>
          <w:sz w:val="18"/>
          <w:szCs w:val="18"/>
          <w:color w:val="auto"/>
        </w:rPr>
        <w:t>On January 8, 2020, in connection with CareCloud’s sale to MTBC, Inc., the Company extinguished $25.0 million in outstanding principal balance and terminated the associated warrants. The Company, in return, received consideration in the amount of approximately $23.3 million from MTBC, Inc. The consideration consisted of the following: warrants to purchase 1,000,000 shares of Common Stock at $7.50 per share; warrants to purchase 1,000,000 shares of Common Stock at $10.00 per share; and, 760,000 shares of 11% Series A Preferred Stock.</w:t>
      </w:r>
    </w:p>
    <w:p>
      <w:pPr>
        <w:spacing w:after="0" w:line="108" w:lineRule="exact"/>
        <w:rPr>
          <w:sz w:val="20"/>
          <w:szCs w:val="20"/>
          <w:color w:val="auto"/>
        </w:rPr>
      </w:pPr>
    </w:p>
    <w:p>
      <w:pPr>
        <w:jc w:val="both"/>
        <w:ind w:left="1260" w:right="659" w:firstLine="360"/>
        <w:spacing w:after="0" w:line="243" w:lineRule="auto"/>
        <w:rPr>
          <w:sz w:val="20"/>
          <w:szCs w:val="20"/>
          <w:color w:val="auto"/>
        </w:rPr>
      </w:pPr>
      <w:r>
        <w:rPr>
          <w:rFonts w:ascii="Arial" w:cs="Arial" w:eastAsia="Arial" w:hAnsi="Arial"/>
          <w:sz w:val="18"/>
          <w:szCs w:val="18"/>
          <w:color w:val="auto"/>
        </w:rPr>
        <w:t>On January 9, 2020, in conjunction with its sale to Inphi Corporation and concurrently Synopays, Inc., eSilicon Corporation prepaid its outstanding principal balance of $26,625,000 on the senior secured loan. In addition, the Company received cash proceeds of $2,749,949 in conjunction with the termination of its warrants in eSilicon Corporation for total proceeds of $30,853,855.</w:t>
      </w:r>
    </w:p>
    <w:p>
      <w:pPr>
        <w:spacing w:after="0" w:line="120" w:lineRule="exact"/>
        <w:rPr>
          <w:sz w:val="20"/>
          <w:szCs w:val="20"/>
          <w:color w:val="auto"/>
        </w:rPr>
      </w:pPr>
    </w:p>
    <w:p>
      <w:pPr>
        <w:jc w:val="both"/>
        <w:ind w:left="1260" w:right="679" w:firstLine="360"/>
        <w:spacing w:after="0" w:line="261" w:lineRule="auto"/>
        <w:rPr>
          <w:sz w:val="20"/>
          <w:szCs w:val="20"/>
          <w:color w:val="auto"/>
        </w:rPr>
      </w:pPr>
      <w:r>
        <w:rPr>
          <w:rFonts w:ascii="Arial" w:cs="Arial" w:eastAsia="Arial" w:hAnsi="Arial"/>
          <w:sz w:val="18"/>
          <w:szCs w:val="18"/>
          <w:color w:val="auto"/>
        </w:rPr>
        <w:t>On January 30, 2020, MingleHealth Care Solutions, Inc. prepaid $1,583,333 on its outstanding principal balance.</w:t>
      </w:r>
    </w:p>
    <w:p>
      <w:pPr>
        <w:spacing w:after="0" w:line="103" w:lineRule="exact"/>
        <w:rPr>
          <w:sz w:val="20"/>
          <w:szCs w:val="20"/>
          <w:color w:val="auto"/>
        </w:rPr>
      </w:pPr>
    </w:p>
    <w:p>
      <w:pPr>
        <w:jc w:val="both"/>
        <w:ind w:left="1260" w:right="679" w:firstLine="360"/>
        <w:spacing w:after="0" w:line="248" w:lineRule="auto"/>
        <w:rPr>
          <w:sz w:val="20"/>
          <w:szCs w:val="20"/>
          <w:color w:val="auto"/>
        </w:rPr>
      </w:pPr>
      <w:r>
        <w:rPr>
          <w:rFonts w:ascii="Arial" w:cs="Arial" w:eastAsia="Arial" w:hAnsi="Arial"/>
          <w:sz w:val="18"/>
          <w:szCs w:val="18"/>
          <w:color w:val="auto"/>
        </w:rPr>
        <w:t>On March 2, 2020, RealWear, Inc. prepaid $21,993,938 on its outstanding principal balance. In addition, the Company received cash proceeds of $1,544,606 in conjunction with ETP and interest for total proceeds of $23,538,544.</w:t>
      </w:r>
    </w:p>
    <w:p>
      <w:pPr>
        <w:spacing w:after="0" w:line="101" w:lineRule="exact"/>
        <w:rPr>
          <w:sz w:val="20"/>
          <w:szCs w:val="20"/>
          <w:color w:val="auto"/>
        </w:rPr>
      </w:pPr>
    </w:p>
    <w:p>
      <w:pPr>
        <w:jc w:val="both"/>
        <w:ind w:left="1260" w:right="679" w:firstLine="360"/>
        <w:spacing w:after="0" w:line="261" w:lineRule="auto"/>
        <w:rPr>
          <w:sz w:val="20"/>
          <w:szCs w:val="20"/>
          <w:color w:val="auto"/>
        </w:rPr>
      </w:pPr>
      <w:r>
        <w:rPr>
          <w:rFonts w:ascii="Arial" w:cs="Arial" w:eastAsia="Arial" w:hAnsi="Arial"/>
          <w:sz w:val="18"/>
          <w:szCs w:val="18"/>
          <w:color w:val="auto"/>
        </w:rPr>
        <w:t>On March 5, 2020, the Board of Directors declared a dividend in the amount of $0.40 per share payable on March 20, 2020 to stockholders of record as of March 6, 2020.</w:t>
      </w:r>
    </w:p>
    <w:p>
      <w:pPr>
        <w:spacing w:after="0" w:line="103"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7"/>
          <w:szCs w:val="17"/>
          <w:color w:val="auto"/>
        </w:rPr>
        <w:t>On March 10, 2020, Aginity Inc. was sold for net proceeds to the Company of $4,000,000 in the form of a senior secured note of the purchaser and a warrant to purchase 81,177 shares of the purchaser’s common stock for a nominal aggregate exercise price, resulting in a realized loss of approximately $6,525,000.</w:t>
      </w:r>
    </w:p>
    <w:p>
      <w:pPr>
        <w:spacing w:after="0" w:line="96" w:lineRule="exact"/>
        <w:rPr>
          <w:sz w:val="20"/>
          <w:szCs w:val="20"/>
          <w:color w:val="auto"/>
        </w:rPr>
      </w:pPr>
    </w:p>
    <w:p>
      <w:pPr>
        <w:jc w:val="both"/>
        <w:ind w:left="1260" w:right="679" w:firstLine="360"/>
        <w:spacing w:after="0" w:line="248" w:lineRule="auto"/>
        <w:rPr>
          <w:sz w:val="20"/>
          <w:szCs w:val="20"/>
          <w:color w:val="auto"/>
        </w:rPr>
      </w:pPr>
      <w:r>
        <w:rPr>
          <w:rFonts w:ascii="Arial" w:cs="Arial" w:eastAsia="Arial" w:hAnsi="Arial"/>
          <w:sz w:val="18"/>
          <w:szCs w:val="18"/>
          <w:color w:val="auto"/>
        </w:rPr>
        <w:t>On March 16, 2020, RealWear, Inc. prepaid the remainder of $2,691,862 on its outstanding principal balance. In addition, the Company received cash proceeds of $145,428 in conjunction with ETP and interest for total proceeds of $2,837,290.</w:t>
      </w:r>
    </w:p>
    <w:p>
      <w:pPr>
        <w:spacing w:after="0" w:line="3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jc w:val="both"/>
        <w:ind w:left="1260" w:right="679" w:firstLine="360"/>
        <w:spacing w:after="0" w:line="291" w:lineRule="auto"/>
        <w:rPr>
          <w:sz w:val="20"/>
          <w:szCs w:val="20"/>
          <w:color w:val="auto"/>
        </w:rPr>
      </w:pPr>
      <w:r>
        <w:rPr>
          <w:rFonts w:ascii="Arial" w:cs="Arial" w:eastAsia="Arial" w:hAnsi="Arial"/>
          <w:sz w:val="17"/>
          <w:szCs w:val="17"/>
          <w:color w:val="auto"/>
        </w:rPr>
        <w:t>We commenced investment activities in portfolio securities during the quarter ended June 30, 2017 and commenced investment activities in U.S. Treasury Bills during the quarter ended December 31, 2016.</w:t>
      </w:r>
    </w:p>
    <w:p>
      <w:pPr>
        <w:spacing w:after="0" w:line="79" w:lineRule="exact"/>
        <w:rPr>
          <w:sz w:val="20"/>
          <w:szCs w:val="20"/>
          <w:color w:val="auto"/>
        </w:rPr>
      </w:pPr>
    </w:p>
    <w:p>
      <w:pPr>
        <w:jc w:val="both"/>
        <w:ind w:left="1260" w:right="679" w:firstLine="360"/>
        <w:spacing w:after="0"/>
        <w:rPr>
          <w:sz w:val="20"/>
          <w:szCs w:val="20"/>
          <w:color w:val="auto"/>
        </w:rPr>
      </w:pPr>
      <w:r>
        <w:rPr>
          <w:rFonts w:ascii="Arial" w:cs="Arial" w:eastAsia="Arial" w:hAnsi="Arial"/>
          <w:sz w:val="18"/>
          <w:szCs w:val="18"/>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Valuation Risk</w:t>
      </w:r>
    </w:p>
    <w:p>
      <w:pPr>
        <w:spacing w:after="0" w:line="158" w:lineRule="exact"/>
        <w:rPr>
          <w:sz w:val="20"/>
          <w:szCs w:val="20"/>
          <w:color w:val="auto"/>
        </w:rPr>
      </w:pPr>
    </w:p>
    <w:p>
      <w:pPr>
        <w:jc w:val="both"/>
        <w:ind w:left="1260" w:right="679" w:firstLine="360"/>
        <w:spacing w:after="0" w:line="253" w:lineRule="auto"/>
        <w:rPr>
          <w:sz w:val="20"/>
          <w:szCs w:val="20"/>
          <w:color w:val="auto"/>
        </w:rPr>
      </w:pPr>
      <w:r>
        <w:rPr>
          <w:rFonts w:ascii="Arial" w:cs="Arial" w:eastAsia="Arial" w:hAnsi="Arial"/>
          <w:sz w:val="17"/>
          <w:szCs w:val="17"/>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4"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7"/>
          <w:szCs w:val="17"/>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w:t>
      </w:r>
    </w:p>
    <w:p>
      <w:pPr>
        <w:spacing w:after="0" w:line="113" w:lineRule="exact"/>
        <w:rPr>
          <w:sz w:val="20"/>
          <w:szCs w:val="20"/>
          <w:color w:val="auto"/>
        </w:rPr>
      </w:pPr>
    </w:p>
    <w:p>
      <w:pPr>
        <w:jc w:val="both"/>
        <w:ind w:left="1260" w:right="679" w:firstLine="360"/>
        <w:spacing w:after="0" w:line="271" w:lineRule="auto"/>
        <w:rPr>
          <w:sz w:val="20"/>
          <w:szCs w:val="20"/>
          <w:color w:val="auto"/>
        </w:rPr>
      </w:pPr>
      <w:r>
        <w:rPr>
          <w:rFonts w:ascii="Arial" w:cs="Arial" w:eastAsia="Arial" w:hAnsi="Arial"/>
          <w:sz w:val="17"/>
          <w:szCs w:val="17"/>
          <w:color w:val="auto"/>
        </w:rPr>
        <w:t>We typically expect that interest rates on the investments held in our portfolio will be based on LIBOR, with many of these investments also having a LIBOR floor. As of December 31, 2019, 100.0%, or $358,385,089 (at cost), of our debt portfolio investments bore interest at variable rates, which are LIBOR-based and subject to certain floors, and none of our debt portfolio investments bore interest at fixed rates. As a policy, any interest in excess of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$7,323,315 and decrease our investment income by a maximum of $495,505, on an annual basis.</w:t>
      </w:r>
    </w:p>
    <w:p>
      <w:pPr>
        <w:spacing w:after="0" w:line="111" w:lineRule="exact"/>
        <w:rPr>
          <w:sz w:val="20"/>
          <w:szCs w:val="20"/>
          <w:color w:val="auto"/>
        </w:rPr>
      </w:pPr>
    </w:p>
    <w:p>
      <w:pPr>
        <w:jc w:val="both"/>
        <w:ind w:left="1260" w:right="679" w:firstLine="360"/>
        <w:spacing w:after="0" w:line="277" w:lineRule="auto"/>
        <w:rPr>
          <w:sz w:val="20"/>
          <w:szCs w:val="20"/>
          <w:color w:val="auto"/>
        </w:rPr>
      </w:pPr>
      <w:r>
        <w:rPr>
          <w:rFonts w:ascii="Arial" w:cs="Arial" w:eastAsia="Arial" w:hAnsi="Arial"/>
          <w:sz w:val="18"/>
          <w:szCs w:val="18"/>
          <w:color w:val="auto"/>
        </w:rPr>
        <w:t>Borrowings under the Credit Facilities bear interest, at our election at the time of drawdown, at a rate per annum equal to the LIBOR rate for the applicable interest period plus 3%.</w:t>
      </w:r>
    </w:p>
    <w:p>
      <w:pPr>
        <w:spacing w:after="0" w:line="89" w:lineRule="exact"/>
        <w:rPr>
          <w:sz w:val="20"/>
          <w:szCs w:val="20"/>
          <w:color w:val="auto"/>
        </w:rPr>
      </w:pPr>
    </w:p>
    <w:p>
      <w:pPr>
        <w:jc w:val="both"/>
        <w:ind w:left="1260" w:right="679" w:firstLine="360"/>
        <w:spacing w:after="0" w:line="269" w:lineRule="auto"/>
        <w:rPr>
          <w:sz w:val="20"/>
          <w:szCs w:val="20"/>
          <w:color w:val="auto"/>
        </w:rPr>
      </w:pPr>
      <w:r>
        <w:rPr>
          <w:rFonts w:ascii="Arial" w:cs="Arial" w:eastAsia="Arial" w:hAnsi="Arial"/>
          <w:sz w:val="17"/>
          <w:szCs w:val="17"/>
          <w:color w:val="auto"/>
        </w:rPr>
        <w:t>The United Kingdom’s Financial Conduct Authority, which regulates LIBOR, has announced that it intends to phase out LIBOR by the end of 2021. It is unclear if at that time whether LIBOR will cease to exist or if new methods of calculating LIBOR will be established such that it continues to exist after 2021. At this time, it is not possible to predict the effect of any such changes, any establishment of alternative reference rates or any other reforms to LIBOR that may be enacted. 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 In addition, if LIBOR ceases to exist, we may need to renegotiate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w:t>
      </w:r>
    </w:p>
    <w:p>
      <w:pPr>
        <w:spacing w:after="0" w:line="3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57" w:lineRule="auto"/>
        <w:rPr>
          <w:sz w:val="20"/>
          <w:szCs w:val="20"/>
          <w:color w:val="auto"/>
        </w:rPr>
      </w:pPr>
      <w:r>
        <w:rPr>
          <w:rFonts w:ascii="Arial" w:cs="Arial" w:eastAsia="Arial" w:hAnsi="Arial"/>
          <w:sz w:val="18"/>
          <w:szCs w:val="18"/>
          <w:color w:val="auto"/>
        </w:rPr>
        <w:t>Following the replacement of LIBOR, some or all of these agreements may bear interest a lower interest rate, which could have an adverse impact on our results of operations. Moreover, if LIBOR ceases to exist, we may need to renegotiate certain terms of our credit facilities. If we are unable to do so, amounts drawn under our credit facilities may bear interest at a higher rate, which would increase the cost of our borrowings and, in turn, affect our results of operations.</w:t>
      </w:r>
    </w:p>
    <w:p>
      <w:pPr>
        <w:spacing w:after="0" w:line="107" w:lineRule="exact"/>
        <w:rPr>
          <w:sz w:val="20"/>
          <w:szCs w:val="20"/>
          <w:color w:val="auto"/>
        </w:rPr>
      </w:pPr>
    </w:p>
    <w:p>
      <w:pPr>
        <w:jc w:val="both"/>
        <w:ind w:left="1260" w:right="679" w:firstLine="360"/>
        <w:spacing w:after="0" w:line="273" w:lineRule="auto"/>
        <w:rPr>
          <w:sz w:val="20"/>
          <w:szCs w:val="20"/>
          <w:color w:val="auto"/>
        </w:rPr>
      </w:pPr>
      <w:r>
        <w:rPr>
          <w:rFonts w:ascii="Arial" w:cs="Arial" w:eastAsia="Arial" w:hAnsi="Arial"/>
          <w:sz w:val="17"/>
          <w:szCs w:val="17"/>
          <w:color w:val="auto"/>
        </w:rPr>
        <w:t>Because we currently borrow, and plan to borrow in the future, funds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10" w:lineRule="exact"/>
        <w:rPr>
          <w:sz w:val="20"/>
          <w:szCs w:val="20"/>
          <w:color w:val="auto"/>
        </w:rPr>
      </w:pPr>
    </w:p>
    <w:p>
      <w:pPr>
        <w:jc w:val="both"/>
        <w:ind w:left="1260" w:right="679" w:firstLine="360"/>
        <w:spacing w:after="0" w:line="293" w:lineRule="auto"/>
        <w:rPr>
          <w:sz w:val="20"/>
          <w:szCs w:val="20"/>
          <w:color w:val="auto"/>
        </w:rPr>
      </w:pPr>
      <w:r>
        <w:rPr>
          <w:rFonts w:ascii="Arial" w:cs="Arial" w:eastAsia="Arial" w:hAnsi="Arial"/>
          <w:sz w:val="16"/>
          <w:szCs w:val="16"/>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97" w:lineRule="exact"/>
        <w:rPr>
          <w:sz w:val="20"/>
          <w:szCs w:val="20"/>
          <w:color w:val="auto"/>
        </w:rPr>
      </w:pPr>
    </w:p>
    <w:p>
      <w:pPr>
        <w:jc w:val="both"/>
        <w:ind w:left="1260" w:right="679" w:firstLine="360"/>
        <w:spacing w:after="0" w:line="301" w:lineRule="auto"/>
        <w:rPr>
          <w:sz w:val="20"/>
          <w:szCs w:val="20"/>
          <w:color w:val="auto"/>
        </w:rPr>
      </w:pPr>
      <w:r>
        <w:rPr>
          <w:rFonts w:ascii="Arial" w:cs="Arial" w:eastAsia="Arial" w:hAnsi="Arial"/>
          <w:sz w:val="16"/>
          <w:szCs w:val="16"/>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Index to Audited Financial Statements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21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09"/>
        </w:trPr>
        <w:tc>
          <w:tcPr>
            <w:tcW w:w="4220" w:type="dxa"/>
            <w:vAlign w:val="bottom"/>
            <w:gridSpan w:val="2"/>
            <w:shd w:val="clear" w:color="auto" w:fill="CCEEFF"/>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Report of Independent Registered Public Accounting Firm</w:t>
              </w:r>
            </w:hyperlink>
          </w:p>
        </w:tc>
        <w:tc>
          <w:tcPr>
            <w:tcW w:w="3540" w:type="dxa"/>
            <w:vAlign w:val="bottom"/>
            <w:gridSpan w:val="6"/>
            <w:shd w:val="clear" w:color="auto" w:fill="CCEEFF"/>
          </w:tcPr>
          <w:p>
            <w:pPr>
              <w:spacing w:after="0"/>
              <w:rPr>
                <w:sz w:val="18"/>
                <w:szCs w:val="18"/>
                <w:color w:val="auto"/>
              </w:rPr>
            </w:pPr>
          </w:p>
        </w:tc>
        <w:tc>
          <w:tcPr>
            <w:tcW w:w="320" w:type="dxa"/>
            <w:vAlign w:val="bottom"/>
            <w:gridSpan w:val="2"/>
            <w:shd w:val="clear" w:color="auto" w:fill="CCEEFF"/>
          </w:tcPr>
          <w:p>
            <w:pPr>
              <w:jc w:val="center"/>
              <w:ind w:left="52"/>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74</w:t>
              </w:r>
            </w:hyperlink>
          </w:p>
        </w:tc>
        <w:tc>
          <w:tcPr>
            <w:tcW w:w="140" w:type="dxa"/>
            <w:vAlign w:val="bottom"/>
            <w:shd w:val="clear" w:color="auto" w:fill="CCEEFF"/>
          </w:tcPr>
          <w:p>
            <w:pPr>
              <w:spacing w:after="0"/>
              <w:rPr>
                <w:sz w:val="18"/>
                <w:szCs w:val="18"/>
                <w:color w:val="auto"/>
              </w:rPr>
            </w:pPr>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324"/>
        </w:trPr>
        <w:tc>
          <w:tcPr>
            <w:tcW w:w="7760" w:type="dxa"/>
            <w:vAlign w:val="bottom"/>
            <w:gridSpan w:val="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Statements of Assets and Liabilities as of December 31, 2019 and 2018</w:t>
              </w:r>
            </w:hyperlink>
          </w:p>
        </w:tc>
        <w:tc>
          <w:tcPr>
            <w:tcW w:w="320" w:type="dxa"/>
            <w:vAlign w:val="bottom"/>
            <w:gridSpan w:val="2"/>
          </w:tcPr>
          <w:p>
            <w:pPr>
              <w:jc w:val="center"/>
              <w:ind w:left="52"/>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75</w:t>
              </w:r>
            </w:hyperlink>
          </w:p>
        </w:tc>
        <w:tc>
          <w:tcPr>
            <w:tcW w:w="140" w:type="dxa"/>
            <w:vAlign w:val="bottom"/>
          </w:tcPr>
          <w:p>
            <w:pPr>
              <w:spacing w:after="0"/>
              <w:rPr>
                <w:sz w:val="24"/>
                <w:szCs w:val="24"/>
                <w:color w:val="auto"/>
              </w:rPr>
            </w:pP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24"/>
        </w:trPr>
        <w:tc>
          <w:tcPr>
            <w:tcW w:w="5860" w:type="dxa"/>
            <w:vAlign w:val="bottom"/>
            <w:gridSpan w:val="5"/>
            <w:shd w:val="clear" w:color="auto" w:fill="CCEEFF"/>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Statements of Operations for the years ended December 31, 2019, 2018 and 2017</w:t>
              </w:r>
            </w:hyperlink>
          </w:p>
        </w:tc>
        <w:tc>
          <w:tcPr>
            <w:tcW w:w="1900" w:type="dxa"/>
            <w:vAlign w:val="bottom"/>
            <w:gridSpan w:val="3"/>
            <w:shd w:val="clear" w:color="auto" w:fill="CCEEFF"/>
          </w:tcPr>
          <w:p>
            <w:pPr>
              <w:spacing w:after="0"/>
              <w:rPr>
                <w:sz w:val="24"/>
                <w:szCs w:val="24"/>
                <w:color w:val="auto"/>
              </w:rPr>
            </w:pPr>
          </w:p>
        </w:tc>
        <w:tc>
          <w:tcPr>
            <w:tcW w:w="320" w:type="dxa"/>
            <w:vAlign w:val="bottom"/>
            <w:gridSpan w:val="2"/>
            <w:shd w:val="clear" w:color="auto" w:fill="CCEEFF"/>
          </w:tcPr>
          <w:p>
            <w:pPr>
              <w:jc w:val="center"/>
              <w:ind w:left="52"/>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76</w:t>
              </w:r>
            </w:hyperlink>
          </w:p>
        </w:tc>
        <w:tc>
          <w:tcPr>
            <w:tcW w:w="140" w:type="dxa"/>
            <w:vAlign w:val="bottom"/>
            <w:shd w:val="clear" w:color="auto" w:fill="CCEEFF"/>
          </w:tcPr>
          <w:p>
            <w:pPr>
              <w:spacing w:after="0"/>
              <w:rPr>
                <w:sz w:val="24"/>
                <w:szCs w:val="24"/>
                <w:color w:val="auto"/>
              </w:rPr>
            </w:pPr>
          </w:p>
        </w:tc>
      </w:tr>
      <w:tr>
        <w:trPr>
          <w:trHeight w:val="20"/>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338"/>
        </w:trPr>
        <w:tc>
          <w:tcPr>
            <w:tcW w:w="7760" w:type="dxa"/>
            <w:vAlign w:val="bottom"/>
            <w:gridSpan w:val="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Statements of Changes in Net Assets for the years ended December 31, 2019, 2018 and 2017</w:t>
              </w:r>
            </w:hyperlink>
          </w:p>
        </w:tc>
        <w:tc>
          <w:tcPr>
            <w:tcW w:w="320" w:type="dxa"/>
            <w:vAlign w:val="bottom"/>
            <w:gridSpan w:val="2"/>
          </w:tcPr>
          <w:p>
            <w:pPr>
              <w:jc w:val="center"/>
              <w:ind w:left="52"/>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77</w:t>
              </w:r>
            </w:hyperlink>
          </w:p>
        </w:tc>
        <w:tc>
          <w:tcPr>
            <w:tcW w:w="140" w:type="dxa"/>
            <w:vAlign w:val="bottom"/>
          </w:tcPr>
          <w:p>
            <w:pPr>
              <w:spacing w:after="0"/>
              <w:rPr>
                <w:sz w:val="24"/>
                <w:szCs w:val="24"/>
                <w:color w:val="auto"/>
              </w:rPr>
            </w:pP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8"/>
        </w:trPr>
        <w:tc>
          <w:tcPr>
            <w:tcW w:w="5920" w:type="dxa"/>
            <w:vAlign w:val="bottom"/>
            <w:gridSpan w:val="6"/>
            <w:shd w:val="clear" w:color="auto" w:fill="CCEEFF"/>
          </w:tcPr>
          <w:p>
            <w:pPr>
              <w:spacing w:after="0"/>
              <w:rPr>
                <w:rFonts w:ascii="Arial" w:cs="Arial" w:eastAsia="Arial" w:hAnsi="Arial"/>
                <w:sz w:val="18"/>
                <w:szCs w:val="18"/>
                <w:color w:val="0000EE"/>
                <w:w w:val="88"/>
              </w:rPr>
            </w:pPr>
            <w:hyperlink w:anchor="page79">
              <w:r>
                <w:rPr>
                  <w:rFonts w:ascii="Arial" w:cs="Arial" w:eastAsia="Arial" w:hAnsi="Arial"/>
                  <w:sz w:val="18"/>
                  <w:szCs w:val="18"/>
                  <w:color w:val="0000EE"/>
                  <w:w w:val="88"/>
                </w:rPr>
                <w:t>Statements of Cash Flows for the years ended December 31, 2019, 2018 and 2017</w:t>
              </w:r>
            </w:hyperlink>
          </w:p>
        </w:tc>
        <w:tc>
          <w:tcPr>
            <w:tcW w:w="1840" w:type="dxa"/>
            <w:vAlign w:val="bottom"/>
            <w:gridSpan w:val="2"/>
            <w:shd w:val="clear" w:color="auto" w:fill="CCEEFF"/>
          </w:tcPr>
          <w:p>
            <w:pPr>
              <w:spacing w:after="0"/>
              <w:rPr>
                <w:sz w:val="24"/>
                <w:szCs w:val="24"/>
                <w:color w:val="auto"/>
              </w:rPr>
            </w:pPr>
          </w:p>
        </w:tc>
        <w:tc>
          <w:tcPr>
            <w:tcW w:w="320" w:type="dxa"/>
            <w:vAlign w:val="bottom"/>
            <w:gridSpan w:val="2"/>
            <w:shd w:val="clear" w:color="auto" w:fill="CCEEFF"/>
          </w:tcPr>
          <w:p>
            <w:pPr>
              <w:jc w:val="center"/>
              <w:ind w:left="52"/>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78</w:t>
              </w:r>
            </w:hyperlink>
          </w:p>
        </w:tc>
        <w:tc>
          <w:tcPr>
            <w:tcW w:w="140" w:type="dxa"/>
            <w:vAlign w:val="bottom"/>
            <w:shd w:val="clear" w:color="auto" w:fill="CCEEFF"/>
          </w:tcPr>
          <w:p>
            <w:pPr>
              <w:spacing w:after="0"/>
              <w:rPr>
                <w:sz w:val="24"/>
                <w:szCs w:val="24"/>
                <w:color w:val="auto"/>
              </w:rPr>
            </w:pPr>
          </w:p>
        </w:tc>
      </w:tr>
      <w:tr>
        <w:trPr>
          <w:trHeight w:val="20"/>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338"/>
        </w:trPr>
        <w:tc>
          <w:tcPr>
            <w:tcW w:w="5920" w:type="dxa"/>
            <w:vAlign w:val="bottom"/>
            <w:gridSpan w:val="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Schedules of Investments as of December 31, 2019 and 2018</w:t>
              </w:r>
            </w:hyperlink>
          </w:p>
        </w:tc>
        <w:tc>
          <w:tcPr>
            <w:tcW w:w="1840" w:type="dxa"/>
            <w:vAlign w:val="bottom"/>
            <w:gridSpan w:val="2"/>
          </w:tcPr>
          <w:p>
            <w:pPr>
              <w:spacing w:after="0"/>
              <w:rPr>
                <w:sz w:val="24"/>
                <w:szCs w:val="24"/>
                <w:color w:val="auto"/>
              </w:rPr>
            </w:pPr>
          </w:p>
        </w:tc>
        <w:tc>
          <w:tcPr>
            <w:tcW w:w="320" w:type="dxa"/>
            <w:vAlign w:val="bottom"/>
            <w:gridSpan w:val="2"/>
          </w:tcPr>
          <w:p>
            <w:pPr>
              <w:jc w:val="center"/>
              <w:ind w:left="52"/>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79</w:t>
              </w:r>
            </w:hyperlink>
          </w:p>
        </w:tc>
        <w:tc>
          <w:tcPr>
            <w:tcW w:w="140" w:type="dxa"/>
            <w:vAlign w:val="bottom"/>
          </w:tcPr>
          <w:p>
            <w:pPr>
              <w:spacing w:after="0"/>
              <w:rPr>
                <w:sz w:val="24"/>
                <w:szCs w:val="24"/>
                <w:color w:val="auto"/>
              </w:rPr>
            </w:pP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8"/>
        </w:trPr>
        <w:tc>
          <w:tcPr>
            <w:tcW w:w="7760" w:type="dxa"/>
            <w:vAlign w:val="bottom"/>
            <w:gridSpan w:val="8"/>
            <w:shd w:val="clear" w:color="auto" w:fill="CCEEFF"/>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Notes to Financial Statements</w:t>
              </w:r>
            </w:hyperlink>
          </w:p>
        </w:tc>
        <w:tc>
          <w:tcPr>
            <w:tcW w:w="320" w:type="dxa"/>
            <w:vAlign w:val="bottom"/>
            <w:gridSpan w:val="2"/>
            <w:shd w:val="clear" w:color="auto" w:fill="CCEEFF"/>
          </w:tcPr>
          <w:p>
            <w:pPr>
              <w:jc w:val="center"/>
              <w:ind w:left="52"/>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90</w:t>
              </w:r>
            </w:hyperlink>
          </w:p>
        </w:tc>
        <w:tc>
          <w:tcPr>
            <w:tcW w:w="140" w:type="dxa"/>
            <w:vAlign w:val="bottom"/>
            <w:shd w:val="clear" w:color="auto" w:fill="CCEEFF"/>
          </w:tcPr>
          <w:p>
            <w:pPr>
              <w:spacing w:after="0"/>
              <w:rPr>
                <w:sz w:val="24"/>
                <w:szCs w:val="24"/>
                <w:color w:val="auto"/>
              </w:rPr>
            </w:pPr>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-1593850</wp:posOffset>
            </wp:positionV>
            <wp:extent cx="49206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2519" w:firstLine="1852"/>
        <w:spacing w:after="0" w:line="510"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Shareholders and the Board of Directors of Runway Growth Credit Fund Inc.</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8"/>
          <w:szCs w:val="18"/>
          <w:color w:val="auto"/>
        </w:rPr>
        <w:t>We have audited the accompanying statements of assets and liabilities, including the schedules of investments, of Runway Growth Credit Fund Inc. (the Company) as of December 31, 2019 and 2018, and the related statements of operations, changes in net assets and cash flows for each of the three years in the period ended December 31, 2019, and the related notes to the financial statements (collectively,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ind w:left="1260" w:right="679" w:firstLine="360"/>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95"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ind w:left="1260" w:right="679" w:firstLine="360"/>
        <w:spacing w:after="0" w:line="29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December 31, 2019, by correspondence with the custodians and portfolio companies. We believe that our audits provide a reasonable basis for our opinion.</w:t>
      </w:r>
    </w:p>
    <w:p>
      <w:pPr>
        <w:spacing w:after="0" w:line="9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RSM US LLP</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2015.</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Statements of Assets and Liabilities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Non-control/non-affiliate investments at fair value (cost of $377,018,900</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$223,851,892, respectively)</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368,016,276</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224,248,389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80" w:type="dxa"/>
            <w:vAlign w:val="bottom"/>
            <w:gridSpan w:val="3"/>
          </w:tcPr>
          <w:p>
            <w:pPr>
              <w:ind w:left="180"/>
              <w:spacing w:after="0"/>
              <w:rPr>
                <w:sz w:val="20"/>
                <w:szCs w:val="20"/>
                <w:color w:val="auto"/>
              </w:rPr>
            </w:pPr>
            <w:r>
              <w:rPr>
                <w:rFonts w:ascii="Arial" w:cs="Arial" w:eastAsia="Arial" w:hAnsi="Arial"/>
                <w:sz w:val="18"/>
                <w:szCs w:val="18"/>
                <w:color w:val="auto"/>
              </w:rPr>
              <w:t>Investment in U.S. Treasury Bills at fair value (cost of $99,982,765 and</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360"/>
              <w:spacing w:after="0"/>
              <w:rPr>
                <w:sz w:val="20"/>
                <w:szCs w:val="20"/>
                <w:color w:val="auto"/>
              </w:rPr>
            </w:pPr>
            <w:r>
              <w:rPr>
                <w:rFonts w:ascii="Arial" w:cs="Arial" w:eastAsia="Arial" w:hAnsi="Arial"/>
                <w:sz w:val="18"/>
                <w:szCs w:val="18"/>
                <w:color w:val="auto"/>
              </w:rPr>
              <w:t>$79,959,928, respectively)</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99,965,423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79,959,928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investments at fair value (cost of $477,001,665 and $303,811,820,</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467,981,699</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304,208,317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45,799,672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2,527,474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1,941,502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1,221,494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w:t>
            </w: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403,566</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expenses</w:t>
            </w: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165,901</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120,064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516,292,340</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308,221,374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40" w:type="dxa"/>
            <w:vAlign w:val="bottom"/>
          </w:tcPr>
          <w:p>
            <w:pPr>
              <w:ind w:left="180"/>
              <w:spacing w:after="0"/>
              <w:rPr>
                <w:sz w:val="20"/>
                <w:szCs w:val="20"/>
                <w:color w:val="auto"/>
              </w:rPr>
            </w:pPr>
            <w:r>
              <w:rPr>
                <w:rFonts w:ascii="Arial" w:cs="Arial" w:eastAsia="Arial" w:hAnsi="Arial"/>
                <w:sz w:val="18"/>
                <w:szCs w:val="18"/>
                <w:color w:val="auto"/>
              </w:rPr>
              <w:t>Credit facilities</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61,000,000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59,500,000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Deferred credit facility fees (net of accumulated amortization of</w:t>
            </w: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5"/>
              </w:rPr>
              <w:t>$129,290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$82,648, respectively)</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(978,907)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(129,759)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84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debt, less unamortized deferred financing costs</w:t>
            </w:r>
          </w:p>
        </w:tc>
        <w:tc>
          <w:tcPr>
            <w:tcW w:w="11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60,021,093</w:t>
            </w:r>
          </w:p>
        </w:tc>
        <w:tc>
          <w:tcPr>
            <w:tcW w:w="2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59,370,241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Payable for securities purchased</w:t>
            </w: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40" w:type="dxa"/>
            <w:vAlign w:val="bottom"/>
          </w:tcPr>
          <w:p>
            <w:pPr>
              <w:spacing w:after="0"/>
              <w:rPr>
                <w:sz w:val="20"/>
                <w:szCs w:val="20"/>
                <w:color w:val="auto"/>
              </w:rPr>
            </w:pPr>
            <w:r>
              <w:rPr>
                <w:rFonts w:ascii="Arial" w:cs="Arial" w:eastAsia="Arial" w:hAnsi="Arial"/>
                <w:sz w:val="18"/>
                <w:szCs w:val="18"/>
                <w:color w:val="auto"/>
              </w:rPr>
              <w:t>Deferred revenue</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Reverse repurchase agreement</w:t>
            </w: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74,593,802</w:t>
            </w: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79,560,129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40" w:type="dxa"/>
            <w:vAlign w:val="bottom"/>
          </w:tcPr>
          <w:p>
            <w:pPr>
              <w:spacing w:after="0"/>
              <w:rPr>
                <w:sz w:val="20"/>
                <w:szCs w:val="20"/>
                <w:color w:val="auto"/>
              </w:rPr>
            </w:pPr>
            <w:r>
              <w:rPr>
                <w:rFonts w:ascii="Arial" w:cs="Arial" w:eastAsia="Arial" w:hAnsi="Arial"/>
                <w:sz w:val="18"/>
                <w:szCs w:val="18"/>
                <w:color w:val="auto"/>
              </w:rPr>
              <w:t>Accrued incentive fees</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3,582,987</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1,071,566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w:t>
            </w: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81,537</w:t>
            </w: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40" w:type="dxa"/>
            <w:vAlign w:val="bottom"/>
          </w:tcPr>
          <w:p>
            <w:pPr>
              <w:spacing w:after="0"/>
              <w:rPr>
                <w:sz w:val="20"/>
                <w:szCs w:val="20"/>
                <w:color w:val="auto"/>
              </w:rPr>
            </w:pPr>
            <w:r>
              <w:rPr>
                <w:rFonts w:ascii="Arial" w:cs="Arial" w:eastAsia="Arial" w:hAnsi="Arial"/>
                <w:sz w:val="18"/>
                <w:szCs w:val="18"/>
                <w:color w:val="auto"/>
              </w:rPr>
              <w:t>Interest payable</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500,056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163,981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1,199,644</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139,979,119</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140,981,738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Commitments and contingencies (Note 3)</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8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6"/>
              </w:rPr>
              <w:t>Common stock, $0.01 par value; 100,000,000 shares authorized; 25,811,214</w:t>
            </w: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11,056,595 shares issued and outstanding,</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258,112</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384,369,854</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162,568,188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Distributable (losses) earnings</w:t>
            </w: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(8,314,745)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4,690,641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84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net assets</w:t>
            </w:r>
          </w:p>
        </w:tc>
        <w:tc>
          <w:tcPr>
            <w:tcW w:w="114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376,313,221</w:t>
            </w:r>
          </w:p>
        </w:tc>
        <w:tc>
          <w:tcPr>
            <w:tcW w:w="22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167,369,395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-4268470</wp:posOffset>
            </wp:positionV>
            <wp:extent cx="45777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-5400040</wp:posOffset>
            </wp:positionV>
            <wp:extent cx="45777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-6343015</wp:posOffset>
            </wp:positionV>
            <wp:extent cx="45688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6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See notes to financial statements.</w:t>
      </w:r>
    </w:p>
    <w:p>
      <w:pPr>
        <w:spacing w:after="0" w:line="9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Statements of Operations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ind w:right="31"/>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31"/>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From non-control/non-affiliate:</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53,015,168</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19,446,270</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3,023,456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Payment in-kind interest income</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1,329,413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49,859</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557,796</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900,377</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Interest income from U.S. Treasury Bills</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106,374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69,338</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income from non-investment sources</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130,385</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290,210</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Dividend income</w:t>
            </w:r>
          </w:p>
        </w:tc>
        <w:tc>
          <w:tcPr>
            <w:tcW w:w="8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8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investment income</w:t>
            </w:r>
          </w:p>
        </w:tc>
        <w:tc>
          <w:tcPr>
            <w:tcW w:w="24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55,139,136</w:t>
            </w:r>
          </w:p>
        </w:tc>
        <w:tc>
          <w:tcPr>
            <w:tcW w:w="22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20,756,054</w:t>
            </w:r>
          </w:p>
        </w:tc>
        <w:tc>
          <w:tcPr>
            <w:tcW w:w="24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3,189,839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Management fees</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5,105,009</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4,812,500</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3,587,314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Incentive fees</w:t>
            </w: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8,349,449</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1,411,324</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1,186,466</w:t>
            </w:r>
          </w:p>
        </w:tc>
        <w:tc>
          <w:tcPr>
            <w:tcW w:w="2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532,732</w:t>
            </w:r>
          </w:p>
        </w:tc>
        <w:tc>
          <w:tcPr>
            <w:tcW w:w="2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975,688</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700,019</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544,002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Overhead allocation expense</w:t>
            </w: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855,889</w:t>
            </w:r>
          </w:p>
        </w:tc>
        <w:tc>
          <w:tcPr>
            <w:tcW w:w="2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454,337</w:t>
            </w:r>
          </w:p>
        </w:tc>
        <w:tc>
          <w:tcPr>
            <w:tcW w:w="2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313,147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Administration fee</w:t>
            </w: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490,022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209,761</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Facility fees</w:t>
            </w: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478,731</w:t>
            </w:r>
          </w:p>
        </w:tc>
        <w:tc>
          <w:tcPr>
            <w:tcW w:w="2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Directors’ fees</w:t>
            </w: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222,154</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208,000</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206,500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Consulting fees</w:t>
            </w: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110,328</w:t>
            </w:r>
          </w:p>
        </w:tc>
        <w:tc>
          <w:tcPr>
            <w:tcW w:w="2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66,933</w:t>
            </w:r>
          </w:p>
        </w:tc>
        <w:tc>
          <w:tcPr>
            <w:tcW w:w="2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Tax expense</w:t>
            </w: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99,549</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186,782</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Insurance expense</w:t>
            </w: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96,296</w:t>
            </w:r>
          </w:p>
        </w:tc>
        <w:tc>
          <w:tcPr>
            <w:tcW w:w="2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96,062</w:t>
            </w:r>
          </w:p>
        </w:tc>
        <w:tc>
          <w:tcPr>
            <w:tcW w:w="2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89,092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26,264</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101,984</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41,900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689,460</w:t>
            </w: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269,203</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8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18,685,305</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9,049,637</w:t>
            </w: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5,031,385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investment income (loss)</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36,453,831</w:t>
            </w: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11,706,417</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(1,841,546)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0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Realized gain on non-control/non-affiliate investments,</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including U.S. Treasury Bills</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609,031</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59,792</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Net change in unrealized appreciation (depreciation) on non-</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control/non-affiliate investments, including U.S. Treasury</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Bills</w:t>
            </w:r>
          </w:p>
        </w:tc>
        <w:tc>
          <w:tcPr>
            <w:tcW w:w="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(9,416,462)</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(8,693)</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405,251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on investments</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40" w:type="dxa"/>
            <w:vAlign w:val="bottom"/>
            <w:vMerge w:val="continue"/>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(8,807,431)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51,099</w:t>
            </w:r>
          </w:p>
        </w:tc>
        <w:tc>
          <w:tcPr>
            <w:tcW w:w="2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w w:val="93"/>
              </w:rPr>
              <w:t>Net increase (decrease)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27,646,400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11,757,516</w:t>
            </w:r>
          </w:p>
        </w:tc>
        <w:tc>
          <w:tcPr>
            <w:tcW w:w="2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(1,436,295)</w:t>
            </w:r>
          </w:p>
        </w:tc>
        <w:tc>
          <w:tcPr>
            <w:tcW w:w="0" w:type="dxa"/>
            <w:vAlign w:val="bottom"/>
          </w:tcPr>
          <w:p>
            <w:pPr>
              <w:spacing w:after="0"/>
              <w:rPr>
                <w:sz w:val="1"/>
                <w:szCs w:val="1"/>
                <w:color w:val="auto"/>
              </w:rPr>
            </w:pPr>
          </w:p>
        </w:tc>
      </w:tr>
      <w:tr>
        <w:trPr>
          <w:trHeight w:val="189"/>
        </w:trPr>
        <w:tc>
          <w:tcPr>
            <w:tcW w:w="5080" w:type="dxa"/>
            <w:vAlign w:val="bottom"/>
            <w:tcBorders>
              <w:top w:val="single" w:sz="8" w:color="CCEEFF"/>
              <w:right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4"/>
              </w:rPr>
              <w:t>Net increase (decrease) in net assets resulting from operations per</w:t>
            </w: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0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Arial" w:cs="Arial" w:eastAsia="Arial" w:hAnsi="Arial"/>
                <w:sz w:val="18"/>
                <w:szCs w:val="18"/>
                <w:color w:val="auto"/>
              </w:rPr>
              <w:t>Net investment income (loss)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23"/>
                <w:szCs w:val="23"/>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70"/>
        </w:trPr>
        <w:tc>
          <w:tcPr>
            <w:tcW w:w="5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18,701,021</w:t>
            </w:r>
          </w:p>
        </w:tc>
        <w:tc>
          <w:tcPr>
            <w:tcW w:w="2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9,300,960</w:t>
            </w:r>
          </w:p>
        </w:tc>
        <w:tc>
          <w:tcPr>
            <w:tcW w:w="2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2,795,274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-1028065</wp:posOffset>
            </wp:positionV>
            <wp:extent cx="1460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-1028065</wp:posOffset>
            </wp:positionV>
            <wp:extent cx="39344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93446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-2150745</wp:posOffset>
            </wp:positionV>
            <wp:extent cx="1460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-2150745</wp:posOffset>
            </wp:positionV>
            <wp:extent cx="39344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93446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-4988560</wp:posOffset>
            </wp:positionV>
            <wp:extent cx="1460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-4988560</wp:posOffset>
            </wp:positionV>
            <wp:extent cx="39344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93446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-6308725</wp:posOffset>
            </wp:positionV>
            <wp:extent cx="137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-6308725</wp:posOffset>
            </wp:positionV>
            <wp:extent cx="39262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3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See notes to financial statements.</w:t>
      </w:r>
    </w:p>
    <w:p>
      <w:pPr>
        <w:spacing w:after="0" w:line="9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Statements of Changes in Net Assets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6"/>
                <w:szCs w:val="16"/>
                <w:color w:val="auto"/>
              </w:rPr>
            </w:pPr>
          </w:p>
        </w:tc>
      </w:tr>
      <w:tr>
        <w:trPr>
          <w:trHeight w:val="26"/>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8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4860" w:type="dxa"/>
            <w:vAlign w:val="bottom"/>
            <w:gridSpan w:val="2"/>
          </w:tcPr>
          <w:p>
            <w:pPr>
              <w:spacing w:after="0"/>
              <w:rPr>
                <w:sz w:val="20"/>
                <w:szCs w:val="20"/>
                <w:color w:val="auto"/>
              </w:rPr>
            </w:pPr>
            <w:r>
              <w:rPr>
                <w:rFonts w:ascii="Arial" w:cs="Arial" w:eastAsia="Arial" w:hAnsi="Arial"/>
                <w:sz w:val="18"/>
                <w:szCs w:val="18"/>
                <w:color w:val="auto"/>
              </w:rPr>
              <w:t>Net investment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36,453,831</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11,706,417</w:t>
            </w:r>
          </w:p>
        </w:tc>
        <w:tc>
          <w:tcPr>
            <w:tcW w:w="1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(1,841,546)</w:t>
            </w:r>
          </w:p>
        </w:tc>
      </w:tr>
      <w:tr>
        <w:trPr>
          <w:trHeight w:val="257"/>
        </w:trPr>
        <w:tc>
          <w:tcPr>
            <w:tcW w:w="48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Realized gain (loss) on investments and U.S. Treasury Bills</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609,031</w:t>
            </w: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59,792</w:t>
            </w:r>
          </w:p>
        </w:tc>
        <w:tc>
          <w:tcPr>
            <w:tcW w:w="1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29"/>
        </w:trPr>
        <w:tc>
          <w:tcPr>
            <w:tcW w:w="4860" w:type="dxa"/>
            <w:vAlign w:val="bottom"/>
            <w:gridSpan w:val="2"/>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investments and U.S. Treasury Bills</w:t>
            </w: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(9,416,462)</w:t>
            </w: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(8,693)</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405,251</w:t>
            </w:r>
          </w:p>
        </w:tc>
        <w:tc>
          <w:tcPr>
            <w:tcW w:w="6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8"/>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increase (decrease) in net assets resulting from</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66"/>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operations</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27,646,400</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11,757,516</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(1,436,295)</w:t>
            </w:r>
          </w:p>
        </w:tc>
        <w:tc>
          <w:tcPr>
            <w:tcW w:w="60" w:type="dxa"/>
            <w:vAlign w:val="bottom"/>
          </w:tcPr>
          <w:p>
            <w:pPr>
              <w:spacing w:after="0"/>
              <w:rPr>
                <w:sz w:val="22"/>
                <w:szCs w:val="22"/>
                <w:color w:val="auto"/>
              </w:rPr>
            </w:pPr>
          </w:p>
        </w:tc>
      </w:tr>
      <w:tr>
        <w:trPr>
          <w:trHeight w:val="358"/>
        </w:trPr>
        <w:tc>
          <w:tcPr>
            <w:tcW w:w="486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Distributions to shareholders from:</w:t>
            </w: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6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(40,651,334)</w:t>
            </w:r>
          </w:p>
        </w:tc>
        <w:tc>
          <w:tcPr>
            <w:tcW w:w="10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(7,283,810)</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8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distributions to shareholders</w:t>
            </w:r>
          </w:p>
        </w:tc>
        <w:tc>
          <w:tcPr>
            <w:tcW w:w="1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(40,651,334)</w:t>
            </w:r>
          </w:p>
        </w:tc>
        <w:tc>
          <w:tcPr>
            <w:tcW w:w="1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(7,283,810)</w:t>
            </w:r>
          </w:p>
        </w:tc>
        <w:tc>
          <w:tcPr>
            <w:tcW w:w="8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364"/>
        </w:trPr>
        <w:tc>
          <w:tcPr>
            <w:tcW w:w="486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4860" w:type="dxa"/>
            <w:vAlign w:val="bottom"/>
            <w:gridSpan w:val="2"/>
          </w:tcPr>
          <w:p>
            <w:pPr>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190,000,000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30,000,000</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125,000,000</w:t>
            </w:r>
          </w:p>
        </w:tc>
        <w:tc>
          <w:tcPr>
            <w:tcW w:w="60" w:type="dxa"/>
            <w:vAlign w:val="bottom"/>
          </w:tcPr>
          <w:p>
            <w:pPr>
              <w:spacing w:after="0"/>
              <w:rPr>
                <w:sz w:val="22"/>
                <w:szCs w:val="22"/>
                <w:color w:val="auto"/>
              </w:rPr>
            </w:pPr>
          </w:p>
        </w:tc>
      </w:tr>
      <w:tr>
        <w:trPr>
          <w:trHeight w:val="229"/>
        </w:trPr>
        <w:tc>
          <w:tcPr>
            <w:tcW w:w="48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Issuance of common stock under dividend reinvestment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48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plan</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32,458,787</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5,855,312</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63"/>
        </w:trPr>
        <w:tc>
          <w:tcPr>
            <w:tcW w:w="4860" w:type="dxa"/>
            <w:vAlign w:val="bottom"/>
            <w:gridSpan w:val="2"/>
          </w:tcPr>
          <w:p>
            <w:pPr>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(510,027)</w:t>
            </w:r>
          </w:p>
        </w:tc>
        <w:tc>
          <w:tcPr>
            <w:tcW w:w="10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5"/>
        </w:trPr>
        <w:tc>
          <w:tcPr>
            <w:tcW w:w="4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Net increase in net assets resulting from capital share</w:t>
            </w:r>
          </w:p>
        </w:tc>
        <w:tc>
          <w:tcPr>
            <w:tcW w:w="1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66"/>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transactions</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221,948,760</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35,855,312</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125,000,000</w:t>
            </w:r>
          </w:p>
        </w:tc>
        <w:tc>
          <w:tcPr>
            <w:tcW w:w="60" w:type="dxa"/>
            <w:vAlign w:val="bottom"/>
          </w:tcPr>
          <w:p>
            <w:pPr>
              <w:spacing w:after="0"/>
              <w:rPr>
                <w:sz w:val="22"/>
                <w:szCs w:val="22"/>
                <w:color w:val="auto"/>
              </w:rPr>
            </w:pPr>
          </w:p>
        </w:tc>
      </w:tr>
      <w:tr>
        <w:trPr>
          <w:trHeight w:val="250"/>
        </w:trPr>
        <w:tc>
          <w:tcPr>
            <w:tcW w:w="486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increase in net assets</w:t>
            </w: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208,943,826</w:t>
            </w: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40,329,018</w:t>
            </w:r>
          </w:p>
        </w:tc>
        <w:tc>
          <w:tcPr>
            <w:tcW w:w="18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123,563,705</w:t>
            </w:r>
          </w:p>
        </w:tc>
        <w:tc>
          <w:tcPr>
            <w:tcW w:w="60" w:type="dxa"/>
            <w:vAlign w:val="bottom"/>
          </w:tcPr>
          <w:p>
            <w:pPr>
              <w:spacing w:after="0"/>
              <w:rPr>
                <w:sz w:val="21"/>
                <w:szCs w:val="21"/>
                <w:color w:val="auto"/>
              </w:rPr>
            </w:pPr>
          </w:p>
        </w:tc>
      </w:tr>
      <w:tr>
        <w:trPr>
          <w:trHeight w:val="263"/>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at beginning of year</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167,369,395</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127,040,377</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3,476,672</w:t>
            </w:r>
          </w:p>
        </w:tc>
        <w:tc>
          <w:tcPr>
            <w:tcW w:w="60" w:type="dxa"/>
            <w:vAlign w:val="bottom"/>
          </w:tcPr>
          <w:p>
            <w:pPr>
              <w:spacing w:after="0"/>
              <w:rPr>
                <w:sz w:val="22"/>
                <w:szCs w:val="22"/>
                <w:color w:val="auto"/>
              </w:rPr>
            </w:pPr>
          </w:p>
        </w:tc>
      </w:tr>
      <w:tr>
        <w:trPr>
          <w:trHeight w:val="304"/>
        </w:trPr>
        <w:tc>
          <w:tcPr>
            <w:tcW w:w="4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assets at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376,313,221</w:t>
            </w: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167,369,395</w:t>
            </w: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127,040,377</w:t>
            </w:r>
          </w:p>
        </w:tc>
        <w:tc>
          <w:tcPr>
            <w:tcW w:w="60" w:type="dxa"/>
            <w:vAlign w:val="bottom"/>
          </w:tcPr>
          <w:p>
            <w:pPr>
              <w:spacing w:after="0"/>
              <w:rPr>
                <w:sz w:val="24"/>
                <w:szCs w:val="24"/>
                <w:color w:val="auto"/>
              </w:rPr>
            </w:pPr>
          </w:p>
        </w:tc>
      </w:tr>
      <w:tr>
        <w:trPr>
          <w:trHeight w:val="311"/>
        </w:trPr>
        <w:tc>
          <w:tcPr>
            <w:tcW w:w="48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4860" w:type="dxa"/>
            <w:vAlign w:val="bottom"/>
            <w:gridSpan w:val="2"/>
          </w:tcPr>
          <w:p>
            <w:pPr>
              <w:spacing w:after="0"/>
              <w:rPr>
                <w:sz w:val="20"/>
                <w:szCs w:val="20"/>
                <w:color w:val="auto"/>
              </w:rPr>
            </w:pPr>
            <w:r>
              <w:rPr>
                <w:rFonts w:ascii="Arial" w:cs="Arial" w:eastAsia="Arial" w:hAnsi="Arial"/>
                <w:sz w:val="18"/>
                <w:szCs w:val="18"/>
                <w:color w:val="auto"/>
              </w:rPr>
              <w:t>Shares issued</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14,754,619</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2,388,261</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8,333,334</w:t>
            </w:r>
          </w:p>
        </w:tc>
        <w:tc>
          <w:tcPr>
            <w:tcW w:w="60" w:type="dxa"/>
            <w:vAlign w:val="bottom"/>
          </w:tcPr>
          <w:p>
            <w:pPr>
              <w:spacing w:after="0"/>
              <w:rPr>
                <w:sz w:val="23"/>
                <w:szCs w:val="23"/>
                <w:color w:val="auto"/>
              </w:rPr>
            </w:pPr>
          </w:p>
        </w:tc>
      </w:tr>
      <w:tr>
        <w:trPr>
          <w:trHeight w:val="277"/>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outstanding at beginning of year</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11,056,595</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8,668,334</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60" w:type="dxa"/>
            <w:vAlign w:val="bottom"/>
          </w:tcPr>
          <w:p>
            <w:pPr>
              <w:spacing w:after="0"/>
              <w:rPr>
                <w:sz w:val="24"/>
                <w:szCs w:val="24"/>
                <w:color w:val="auto"/>
              </w:rPr>
            </w:pPr>
          </w:p>
        </w:tc>
      </w:tr>
      <w:tr>
        <w:trPr>
          <w:trHeight w:val="277"/>
        </w:trPr>
        <w:tc>
          <w:tcPr>
            <w:tcW w:w="486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Shares outstanding at end of year</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25,811,214</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11,056,595</w:t>
            </w: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8,668,334</w:t>
            </w:r>
          </w:p>
        </w:tc>
        <w:tc>
          <w:tcPr>
            <w:tcW w:w="60" w:type="dxa"/>
            <w:vAlign w:val="bottom"/>
          </w:tcPr>
          <w:p>
            <w:pPr>
              <w:spacing w:after="0"/>
              <w:rPr>
                <w:sz w:val="24"/>
                <w:szCs w:val="24"/>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-1636395</wp:posOffset>
            </wp:positionV>
            <wp:extent cx="1111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-1636395</wp:posOffset>
            </wp:positionV>
            <wp:extent cx="38315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315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-2510790</wp:posOffset>
            </wp:positionV>
            <wp:extent cx="1111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-2510790</wp:posOffset>
            </wp:positionV>
            <wp:extent cx="38315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3159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-3419475</wp:posOffset>
            </wp:positionV>
            <wp:extent cx="1111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-3419475</wp:posOffset>
            </wp:positionV>
            <wp:extent cx="38315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3159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-4225290</wp:posOffset>
            </wp:positionV>
            <wp:extent cx="1028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-4225290</wp:posOffset>
            </wp:positionV>
            <wp:extent cx="38233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Cash Flows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Year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160"/>
              <w:spacing w:after="0"/>
              <w:rPr>
                <w:sz w:val="20"/>
                <w:szCs w:val="20"/>
                <w:color w:val="auto"/>
              </w:rPr>
            </w:pPr>
            <w:r>
              <w:rPr>
                <w:rFonts w:ascii="Arial" w:cs="Arial" w:eastAsia="Arial" w:hAnsi="Arial"/>
                <w:sz w:val="16"/>
                <w:szCs w:val="16"/>
                <w:color w:val="auto"/>
              </w:rPr>
              <w:t>Net increase (decrease) in net assets resulting from operations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27,646,400</w:t>
            </w:r>
          </w:p>
        </w:tc>
        <w:tc>
          <w:tcPr>
            <w:tcW w:w="1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11,757,516</w:t>
            </w:r>
          </w:p>
        </w:tc>
        <w:tc>
          <w:tcPr>
            <w:tcW w:w="14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(1,436,295)</w:t>
            </w:r>
          </w:p>
        </w:tc>
        <w:tc>
          <w:tcPr>
            <w:tcW w:w="0" w:type="dxa"/>
            <w:vAlign w:val="bottom"/>
          </w:tcPr>
          <w:p>
            <w:pPr>
              <w:spacing w:after="0"/>
              <w:rPr>
                <w:sz w:val="1"/>
                <w:szCs w:val="1"/>
                <w:color w:val="auto"/>
              </w:rPr>
            </w:pPr>
          </w:p>
        </w:tc>
      </w:tr>
      <w:tr>
        <w:trPr>
          <w:trHeight w:val="193"/>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3"/>
              </w:rPr>
              <w:t>Adjustments to reconcile net increase (decrease) in net assets resulting</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from operations to net cash used in operating activities:</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20"/>
              <w:spacing w:after="0"/>
              <w:rPr>
                <w:sz w:val="20"/>
                <w:szCs w:val="20"/>
                <w:color w:val="auto"/>
              </w:rPr>
            </w:pPr>
            <w:r>
              <w:rPr>
                <w:rFonts w:ascii="Arial" w:cs="Arial" w:eastAsia="Arial" w:hAnsi="Arial"/>
                <w:sz w:val="16"/>
                <w:szCs w:val="16"/>
                <w:color w:val="auto"/>
              </w:rPr>
              <w:t>Purchase of investments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(241,669,802)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(168,111,471)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w w:val="99"/>
              </w:rPr>
              <w:t>(67,005,037)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 of U.S. Treasury Bills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(315,836,640)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(270,444,962)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(156,977,177)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20"/>
              <w:spacing w:after="0"/>
              <w:rPr>
                <w:sz w:val="20"/>
                <w:szCs w:val="20"/>
                <w:color w:val="auto"/>
              </w:rPr>
            </w:pPr>
            <w:r>
              <w:rPr>
                <w:rFonts w:ascii="Arial" w:cs="Arial" w:eastAsia="Arial" w:hAnsi="Arial"/>
                <w:sz w:val="16"/>
                <w:szCs w:val="16"/>
                <w:color w:val="auto"/>
              </w:rPr>
              <w:t>Payment in-kind interest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(1,329,413)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 or maturity of investments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102,938,909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16,752,528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20"/>
              <w:spacing w:after="0"/>
              <w:rPr>
                <w:sz w:val="20"/>
                <w:szCs w:val="20"/>
                <w:color w:val="auto"/>
              </w:rPr>
            </w:pPr>
            <w:r>
              <w:rPr>
                <w:rFonts w:ascii="Arial" w:cs="Arial" w:eastAsia="Arial" w:hAnsi="Arial"/>
                <w:sz w:val="16"/>
                <w:szCs w:val="16"/>
                <w:color w:val="auto"/>
              </w:rPr>
              <w:t>Sale or maturity of U.S. Treasury Bills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4"/>
              </w:rPr>
              <w:t>295,955,273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4"/>
              </w:rPr>
              <w:t>262,989,682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9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Realized gain on non-control/non-affiliate investments, including U.S.</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(609,031)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(59,792)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9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Treasury Bills</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20" w:type="dxa"/>
            <w:vAlign w:val="bottom"/>
          </w:tcPr>
          <w:p>
            <w:pPr>
              <w:ind w:left="320"/>
              <w:spacing w:after="0"/>
              <w:rPr>
                <w:sz w:val="20"/>
                <w:szCs w:val="20"/>
                <w:color w:val="auto"/>
              </w:rPr>
            </w:pPr>
            <w:r>
              <w:rPr>
                <w:rFonts w:ascii="Arial" w:cs="Arial" w:eastAsia="Arial" w:hAnsi="Arial"/>
                <w:sz w:val="16"/>
                <w:szCs w:val="16"/>
                <w:color w:val="auto"/>
              </w:rPr>
              <w:t>Net change in unrealized (appreciation) depreciation on non-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9,416,462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8,693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(405,251)</w:t>
            </w:r>
          </w:p>
        </w:tc>
        <w:tc>
          <w:tcPr>
            <w:tcW w:w="0" w:type="dxa"/>
            <w:vAlign w:val="bottom"/>
          </w:tcPr>
          <w:p>
            <w:pPr>
              <w:spacing w:after="0"/>
              <w:rPr>
                <w:sz w:val="1"/>
                <w:szCs w:val="1"/>
                <w:color w:val="auto"/>
              </w:rPr>
            </w:pPr>
          </w:p>
        </w:tc>
      </w:tr>
      <w:tr>
        <w:trPr>
          <w:trHeight w:val="185"/>
        </w:trPr>
        <w:tc>
          <w:tcPr>
            <w:tcW w:w="4920" w:type="dxa"/>
            <w:vAlign w:val="bottom"/>
          </w:tcPr>
          <w:p>
            <w:pPr>
              <w:ind w:left="480"/>
              <w:spacing w:after="0"/>
              <w:rPr>
                <w:sz w:val="20"/>
                <w:szCs w:val="20"/>
                <w:color w:val="auto"/>
              </w:rPr>
            </w:pPr>
            <w:r>
              <w:rPr>
                <w:rFonts w:ascii="Arial" w:cs="Arial" w:eastAsia="Arial" w:hAnsi="Arial"/>
                <w:sz w:val="16"/>
                <w:szCs w:val="16"/>
                <w:color w:val="auto"/>
              </w:rPr>
              <w:t>control/non-affiliate investments, including U.S. Tresury Bills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fixed income premiums or discounts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(13,021,775)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(4,621,487)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(834,194)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20"/>
              <w:spacing w:after="0"/>
              <w:rPr>
                <w:sz w:val="20"/>
                <w:szCs w:val="20"/>
                <w:color w:val="auto"/>
              </w:rPr>
            </w:pPr>
            <w:r>
              <w:rPr>
                <w:rFonts w:ascii="Arial" w:cs="Arial" w:eastAsia="Arial" w:hAnsi="Arial"/>
                <w:sz w:val="16"/>
                <w:szCs w:val="16"/>
                <w:color w:val="auto"/>
              </w:rPr>
              <w:t>Amortization of deferred credit facility fees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236,981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82,648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Changes in operating assets and liabilities:</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20"/>
              <w:spacing w:after="0"/>
              <w:rPr>
                <w:sz w:val="20"/>
                <w:szCs w:val="20"/>
                <w:color w:val="auto"/>
              </w:rPr>
            </w:pPr>
            <w:r>
              <w:rPr>
                <w:rFonts w:ascii="Arial" w:cs="Arial" w:eastAsia="Arial" w:hAnsi="Arial"/>
                <w:sz w:val="16"/>
                <w:szCs w:val="16"/>
                <w:color w:val="auto"/>
              </w:rPr>
              <w:t>Accrued interest receivable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(720,008)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(890,568)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(330,926)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accounts receivable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(16,006)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20"/>
              <w:spacing w:after="0"/>
              <w:rPr>
                <w:sz w:val="20"/>
                <w:szCs w:val="20"/>
                <w:color w:val="auto"/>
              </w:rPr>
            </w:pPr>
            <w:r>
              <w:rPr>
                <w:rFonts w:ascii="Arial" w:cs="Arial" w:eastAsia="Arial" w:hAnsi="Arial"/>
                <w:sz w:val="16"/>
                <w:szCs w:val="16"/>
                <w:color w:val="auto"/>
              </w:rPr>
              <w:t>Prepaid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(45,837)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(23,615)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(11,352)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Payable for securities purchased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(80,699)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(18,915,011)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18,995,710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2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incentive fees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2,511,421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1,071,566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20"/>
              <w:spacing w:after="0"/>
              <w:rPr>
                <w:sz w:val="20"/>
                <w:szCs w:val="20"/>
                <w:color w:val="auto"/>
              </w:rPr>
            </w:pPr>
            <w:r>
              <w:rPr>
                <w:rFonts w:ascii="Arial" w:cs="Arial" w:eastAsia="Arial" w:hAnsi="Arial"/>
                <w:sz w:val="16"/>
                <w:szCs w:val="16"/>
                <w:color w:val="auto"/>
              </w:rPr>
              <w:t>Due to portfolio company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(3,000,000)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Due to affiliate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(35,160)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20"/>
              <w:spacing w:after="0"/>
              <w:rPr>
                <w:sz w:val="20"/>
                <w:szCs w:val="20"/>
                <w:color w:val="auto"/>
              </w:rPr>
            </w:pPr>
            <w:r>
              <w:rPr>
                <w:rFonts w:ascii="Arial" w:cs="Arial" w:eastAsia="Arial" w:hAnsi="Arial"/>
                <w:sz w:val="16"/>
                <w:szCs w:val="16"/>
                <w:color w:val="auto"/>
              </w:rPr>
              <w:t>Interest payable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336,075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163,981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Accrued expenses and other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810,978</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121,000</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207,483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80"/>
              <w:spacing w:after="0"/>
              <w:rPr>
                <w:sz w:val="20"/>
                <w:szCs w:val="20"/>
                <w:color w:val="auto"/>
              </w:rPr>
            </w:pPr>
            <w:r>
              <w:rPr>
                <w:rFonts w:ascii="Arial" w:cs="Arial" w:eastAsia="Arial" w:hAnsi="Arial"/>
                <w:sz w:val="16"/>
                <w:szCs w:val="16"/>
                <w:b w:val="1"/>
                <w:bCs w:val="1"/>
                <w:color w:val="auto"/>
              </w:rPr>
              <w:t>Net cash used in operating activities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(133,575,635)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(173,033,420)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w w:val="90"/>
              </w:rPr>
              <w:t>(117,959,044)</w:t>
            </w:r>
          </w:p>
        </w:tc>
        <w:tc>
          <w:tcPr>
            <w:tcW w:w="0" w:type="dxa"/>
            <w:vAlign w:val="bottom"/>
          </w:tcPr>
          <w:p>
            <w:pPr>
              <w:spacing w:after="0"/>
              <w:rPr>
                <w:sz w:val="1"/>
                <w:szCs w:val="1"/>
                <w:color w:val="auto"/>
              </w:rPr>
            </w:pPr>
          </w:p>
        </w:tc>
      </w:tr>
      <w:tr>
        <w:trPr>
          <w:trHeight w:val="32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60"/>
              <w:spacing w:after="0"/>
              <w:rPr>
                <w:sz w:val="20"/>
                <w:szCs w:val="20"/>
                <w:color w:val="auto"/>
              </w:rPr>
            </w:pPr>
            <w:r>
              <w:rPr>
                <w:rFonts w:ascii="Arial" w:cs="Arial" w:eastAsia="Arial" w:hAnsi="Arial"/>
                <w:sz w:val="16"/>
                <w:szCs w:val="16"/>
                <w:color w:val="auto"/>
              </w:rPr>
              <w:t>Deferred offering costs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102,865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(102,865)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credit facility fees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(1,086,129)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(212,407)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60"/>
              <w:spacing w:after="0"/>
              <w:rPr>
                <w:sz w:val="20"/>
                <w:szCs w:val="20"/>
                <w:color w:val="auto"/>
              </w:rPr>
            </w:pPr>
            <w:r>
              <w:rPr>
                <w:rFonts w:ascii="Arial" w:cs="Arial" w:eastAsia="Arial" w:hAnsi="Arial"/>
                <w:sz w:val="16"/>
                <w:szCs w:val="16"/>
                <w:color w:val="auto"/>
              </w:rPr>
              <w:t>Borrowings under credit facilities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4"/>
              </w:rPr>
              <w:t>162,250,000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74,500,000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Repayments under credit facilities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(160,750,000)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(15,000,000)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60"/>
              <w:spacing w:after="0"/>
              <w:rPr>
                <w:sz w:val="20"/>
                <w:szCs w:val="20"/>
                <w:color w:val="auto"/>
              </w:rPr>
            </w:pPr>
            <w:r>
              <w:rPr>
                <w:rFonts w:ascii="Arial" w:cs="Arial" w:eastAsia="Arial" w:hAnsi="Arial"/>
                <w:sz w:val="16"/>
                <w:szCs w:val="16"/>
                <w:color w:val="auto"/>
              </w:rPr>
              <w:t>Proceeds from reverse repurchase agreements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4"/>
              </w:rPr>
              <w:t>289,385,422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79,560,129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Repayments of reverse repurchase agreements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(294,351,749)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60"/>
              <w:spacing w:after="0"/>
              <w:rPr>
                <w:sz w:val="20"/>
                <w:szCs w:val="20"/>
                <w:color w:val="auto"/>
              </w:rPr>
            </w:pPr>
            <w:r>
              <w:rPr>
                <w:rFonts w:ascii="Arial" w:cs="Arial" w:eastAsia="Arial" w:hAnsi="Arial"/>
                <w:sz w:val="16"/>
                <w:szCs w:val="16"/>
                <w:color w:val="auto"/>
              </w:rPr>
              <w:t>Dividends paid to shareholders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(8,192,544)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(1,428,498)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Offering costs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(510,027)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9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cash received from common stock issued</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190,000,000</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30,000,000</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125,060,783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Net cash provided by 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176,847,833</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167,419,224</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125,060,783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Net increase (decrease) in cash</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43,272,198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(5,614,196)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7,101,739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and cash equivalents at beginning of year</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2,527,474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8,141,670</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1,039,931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920" w:type="dxa"/>
            <w:vAlign w:val="bottom"/>
          </w:tcPr>
          <w:p>
            <w:pPr>
              <w:ind w:left="160"/>
              <w:spacing w:after="0"/>
              <w:rPr>
                <w:sz w:val="20"/>
                <w:szCs w:val="20"/>
                <w:color w:val="auto"/>
              </w:rPr>
            </w:pPr>
            <w:r>
              <w:rPr>
                <w:rFonts w:ascii="Arial" w:cs="Arial" w:eastAsia="Arial" w:hAnsi="Arial"/>
                <w:sz w:val="16"/>
                <w:szCs w:val="16"/>
                <w:b w:val="1"/>
                <w:bCs w:val="1"/>
                <w:color w:val="auto"/>
              </w:rPr>
              <w:t>Cash and cash equivalents at end of year</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45,799,672</w:t>
            </w:r>
          </w:p>
        </w:tc>
        <w:tc>
          <w:tcPr>
            <w:tcW w:w="12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2,527,474</w:t>
            </w:r>
          </w:p>
        </w:tc>
        <w:tc>
          <w:tcPr>
            <w:tcW w:w="1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8,141,670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Supplemental and non-cash financing information</w:t>
            </w: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60"/>
              <w:spacing w:after="0"/>
              <w:rPr>
                <w:sz w:val="20"/>
                <w:szCs w:val="20"/>
                <w:color w:val="auto"/>
              </w:rPr>
            </w:pPr>
            <w:r>
              <w:rPr>
                <w:rFonts w:ascii="Arial" w:cs="Arial" w:eastAsia="Arial" w:hAnsi="Arial"/>
                <w:sz w:val="16"/>
                <w:szCs w:val="16"/>
                <w:color w:val="auto"/>
              </w:rPr>
              <w:t>Taxes paid</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183,510</w:t>
            </w: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3,272</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paid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850,391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368,751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60"/>
              <w:spacing w:after="0"/>
              <w:rPr>
                <w:sz w:val="20"/>
                <w:szCs w:val="20"/>
                <w:color w:val="auto"/>
              </w:rPr>
            </w:pPr>
            <w:r>
              <w:rPr>
                <w:rFonts w:ascii="Arial" w:cs="Arial" w:eastAsia="Arial" w:hAnsi="Arial"/>
                <w:sz w:val="16"/>
                <w:szCs w:val="16"/>
                <w:color w:val="auto"/>
              </w:rPr>
              <w:t>Non-cash dividend reinvestments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32,458,787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5,855,312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-1255395</wp:posOffset>
            </wp:positionV>
            <wp:extent cx="946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-1255395</wp:posOffset>
            </wp:positionV>
            <wp:extent cx="39090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-2721610</wp:posOffset>
            </wp:positionV>
            <wp:extent cx="946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-2721610</wp:posOffset>
            </wp:positionV>
            <wp:extent cx="39090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-6424930</wp:posOffset>
            </wp:positionV>
            <wp:extent cx="857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-6424930</wp:posOffset>
            </wp:positionV>
            <wp:extent cx="39001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See notes to financial statements.</w:t>
      </w:r>
    </w:p>
    <w:p>
      <w:pPr>
        <w:spacing w:after="0" w:line="9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2019</w:t>
      </w:r>
    </w:p>
    <w:p>
      <w:pPr>
        <w:sectPr>
          <w:pgSz w:w="11900" w:h="16838" w:orient="portrait"/>
          <w:cols w:equalWidth="0" w:num="1">
            <w:col w:w="10220"/>
          </w:cols>
          <w:pgMar w:left="320" w:top="131" w:right="1359" w:bottom="1440" w:gutter="0" w:footer="0" w:header="0"/>
        </w:sectPr>
      </w:pPr>
    </w:p>
    <w:p>
      <w:pPr>
        <w:spacing w:after="0" w:line="200" w:lineRule="exact"/>
        <w:rPr>
          <w:sz w:val="20"/>
          <w:szCs w:val="20"/>
          <w:color w:val="auto"/>
        </w:rPr>
      </w:pPr>
    </w:p>
    <w:p>
      <w:pPr>
        <w:spacing w:after="0" w:line="308" w:lineRule="exact"/>
        <w:rPr>
          <w:sz w:val="20"/>
          <w:szCs w:val="20"/>
          <w:color w:val="auto"/>
        </w:rPr>
      </w:pPr>
    </w:p>
    <w:tbl>
      <w:tblPr>
        <w:tblLayout w:type="fixed"/>
        <w:tblInd w:w="500" w:type="dxa"/>
        <w:tblCellMar>
          <w:top w:w="0" w:type="dxa"/>
          <w:left w:w="0" w:type="dxa"/>
          <w:bottom w:w="0" w:type="dxa"/>
          <w:right w:w="0" w:type="dxa"/>
        </w:tblCellMar>
      </w:tblPr>
      <w:tr>
        <w:trPr>
          <w:trHeight w:val="257"/>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Portfolio Companies</w:t>
            </w:r>
          </w:p>
        </w:tc>
        <w:tc>
          <w:tcPr>
            <w:tcW w:w="60" w:type="dxa"/>
            <w:vAlign w:val="bottom"/>
          </w:tcPr>
          <w:p>
            <w:pPr>
              <w:spacing w:after="0"/>
              <w:rPr>
                <w:sz w:val="22"/>
                <w:szCs w:val="22"/>
                <w:color w:val="auto"/>
              </w:rPr>
            </w:pPr>
          </w:p>
        </w:tc>
        <w:tc>
          <w:tcPr>
            <w:tcW w:w="14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Sub-Industry</w:t>
            </w:r>
          </w:p>
        </w:tc>
        <w:tc>
          <w:tcPr>
            <w:tcW w:w="40" w:type="dxa"/>
            <w:vAlign w:val="bottom"/>
          </w:tcPr>
          <w:p>
            <w:pPr>
              <w:spacing w:after="0"/>
              <w:rPr>
                <w:sz w:val="22"/>
                <w:szCs w:val="22"/>
                <w:color w:val="auto"/>
              </w:rPr>
            </w:pPr>
          </w:p>
        </w:tc>
        <w:tc>
          <w:tcPr>
            <w:tcW w:w="23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89"/>
              </w:rPr>
              <w:t>Investment Description</w:t>
            </w:r>
            <w:r>
              <w:rPr>
                <w:rFonts w:ascii="Arial" w:cs="Arial" w:eastAsia="Arial" w:hAnsi="Arial"/>
                <w:sz w:val="21"/>
                <w:szCs w:val="21"/>
                <w:b w:val="1"/>
                <w:bCs w:val="1"/>
                <w:color w:val="auto"/>
                <w:w w:val="89"/>
                <w:vertAlign w:val="superscript"/>
              </w:rPr>
              <w:t>(1),(5),(6),(11)</w:t>
            </w:r>
          </w:p>
        </w:tc>
      </w:tr>
      <w:tr>
        <w:trPr>
          <w:trHeight w:val="169"/>
        </w:trPr>
        <w:tc>
          <w:tcPr>
            <w:tcW w:w="2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Non-control/non-affiliate investments</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251"/>
        </w:trPr>
        <w:tc>
          <w:tcPr>
            <w:tcW w:w="2780" w:type="dxa"/>
            <w:vAlign w:val="bottom"/>
            <w:gridSpan w:val="4"/>
          </w:tcPr>
          <w:p>
            <w:pPr>
              <w:spacing w:after="0"/>
              <w:rPr>
                <w:sz w:val="20"/>
                <w:szCs w:val="20"/>
                <w:color w:val="auto"/>
              </w:rPr>
            </w:pPr>
            <w:r>
              <w:rPr>
                <w:rFonts w:ascii="Arial" w:cs="Arial" w:eastAsia="Arial" w:hAnsi="Arial"/>
                <w:sz w:val="14"/>
                <w:szCs w:val="14"/>
                <w:b w:val="1"/>
                <w:bCs w:val="1"/>
                <w:color w:val="auto"/>
              </w:rPr>
              <w:t>Senior Secured Term Loans</w:t>
            </w:r>
          </w:p>
        </w:tc>
        <w:tc>
          <w:tcPr>
            <w:tcW w:w="4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209"/>
        </w:trPr>
        <w:tc>
          <w:tcPr>
            <w:tcW w:w="1260" w:type="dxa"/>
            <w:vAlign w:val="bottom"/>
          </w:tcPr>
          <w:p>
            <w:pPr>
              <w:ind w:left="140"/>
              <w:spacing w:after="0"/>
              <w:rPr>
                <w:sz w:val="20"/>
                <w:szCs w:val="20"/>
                <w:color w:val="auto"/>
              </w:rPr>
            </w:pPr>
            <w:r>
              <w:rPr>
                <w:rFonts w:ascii="Arial" w:cs="Arial" w:eastAsia="Arial" w:hAnsi="Arial"/>
                <w:sz w:val="14"/>
                <w:szCs w:val="14"/>
                <w:color w:val="auto"/>
              </w:rPr>
              <w:t>Aginity, Inc.</w:t>
            </w:r>
          </w:p>
        </w:tc>
        <w:tc>
          <w:tcPr>
            <w:tcW w:w="6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Application Software</w:t>
            </w:r>
          </w:p>
        </w:tc>
        <w:tc>
          <w:tcPr>
            <w:tcW w:w="4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Arial" w:cs="Arial" w:eastAsia="Arial" w:hAnsi="Arial"/>
                <w:sz w:val="14"/>
                <w:szCs w:val="14"/>
                <w:color w:val="auto"/>
              </w:rPr>
              <w:t>Tranche I: LIBOR+10.5% PIK,</w:t>
            </w:r>
          </w:p>
        </w:tc>
      </w:tr>
      <w:tr>
        <w:trPr>
          <w:trHeight w:val="140"/>
        </w:trPr>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tcPr>
          <w:p>
            <w:pPr>
              <w:ind w:left="20"/>
              <w:spacing w:after="0" w:line="141" w:lineRule="exact"/>
              <w:rPr>
                <w:sz w:val="20"/>
                <w:szCs w:val="20"/>
                <w:color w:val="auto"/>
              </w:rPr>
            </w:pPr>
            <w:r>
              <w:rPr>
                <w:rFonts w:ascii="Arial" w:cs="Arial" w:eastAsia="Arial" w:hAnsi="Arial"/>
                <w:sz w:val="14"/>
                <w:szCs w:val="14"/>
                <w:color w:val="auto"/>
              </w:rPr>
              <w:t>11.50% floor, 5% ETP, due</w:t>
            </w:r>
          </w:p>
        </w:tc>
      </w:tr>
      <w:tr>
        <w:trPr>
          <w:trHeight w:val="277"/>
        </w:trPr>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60"/>
              <w:spacing w:after="0" w:line="277" w:lineRule="exact"/>
              <w:rPr>
                <w:sz w:val="20"/>
                <w:szCs w:val="20"/>
                <w:color w:val="auto"/>
              </w:rPr>
            </w:pPr>
            <w:r>
              <w:rPr>
                <w:rFonts w:ascii="Arial" w:cs="Arial" w:eastAsia="Arial" w:hAnsi="Arial"/>
                <w:sz w:val="28"/>
                <w:szCs w:val="28"/>
                <w:color w:val="auto"/>
                <w:vertAlign w:val="subscript"/>
              </w:rPr>
              <w:t>2/15/2020</w:t>
            </w:r>
            <w:r>
              <w:rPr>
                <w:rFonts w:ascii="Arial" w:cs="Arial" w:eastAsia="Arial" w:hAnsi="Arial"/>
                <w:sz w:val="11"/>
                <w:szCs w:val="11"/>
                <w:color w:val="auto"/>
              </w:rPr>
              <w:t>(4),(8),(12)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-372110</wp:posOffset>
            </wp:positionV>
            <wp:extent cx="6180455" cy="3511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80455" cy="3511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-689610</wp:posOffset>
            </wp:positionV>
            <wp:extent cx="6180455" cy="163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8045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2"/>
        </w:trPr>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Acquisition</w:t>
            </w:r>
          </w:p>
        </w:tc>
        <w:tc>
          <w:tcPr>
            <w:tcW w:w="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Principal/</w:t>
            </w: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9"/>
              </w:rPr>
              <w:t>Fair Value</w:t>
            </w:r>
            <w:r>
              <w:rPr>
                <w:rFonts w:ascii="Arial" w:cs="Arial" w:eastAsia="Arial" w:hAnsi="Arial"/>
                <w:sz w:val="21"/>
                <w:szCs w:val="21"/>
                <w:b w:val="1"/>
                <w:bCs w:val="1"/>
                <w:color w:val="auto"/>
                <w:w w:val="99"/>
                <w:vertAlign w:val="superscript"/>
              </w:rPr>
              <w:t>(2)</w:t>
            </w:r>
          </w:p>
        </w:tc>
        <w:tc>
          <w:tcPr>
            <w:tcW w:w="60" w:type="dxa"/>
            <w:vAlign w:val="bottom"/>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2"/>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4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683"/>
        </w:trPr>
        <w:tc>
          <w:tcPr>
            <w:tcW w:w="860" w:type="dxa"/>
            <w:vAlign w:val="bottom"/>
          </w:tcPr>
          <w:p>
            <w:pPr>
              <w:jc w:val="center"/>
              <w:spacing w:after="0"/>
              <w:rPr>
                <w:sz w:val="20"/>
                <w:szCs w:val="20"/>
                <w:color w:val="auto"/>
              </w:rPr>
            </w:pPr>
            <w:r>
              <w:rPr>
                <w:rFonts w:ascii="Arial" w:cs="Arial" w:eastAsia="Arial" w:hAnsi="Arial"/>
                <w:sz w:val="14"/>
                <w:szCs w:val="14"/>
                <w:color w:val="auto"/>
                <w:w w:val="96"/>
              </w:rPr>
              <w:t>5/25/2018</w:t>
            </w:r>
          </w:p>
        </w:tc>
        <w:tc>
          <w:tcPr>
            <w:tcW w:w="1020" w:type="dxa"/>
            <w:vAlign w:val="bottom"/>
            <w:gridSpan w:val="2"/>
          </w:tcPr>
          <w:p>
            <w:pPr>
              <w:jc w:val="center"/>
              <w:ind w:left="8"/>
              <w:spacing w:after="0"/>
              <w:rPr>
                <w:sz w:val="20"/>
                <w:szCs w:val="20"/>
                <w:color w:val="auto"/>
              </w:rPr>
            </w:pPr>
            <w:r>
              <w:rPr>
                <w:rFonts w:ascii="Arial" w:cs="Arial" w:eastAsia="Arial" w:hAnsi="Arial"/>
                <w:sz w:val="14"/>
                <w:szCs w:val="14"/>
                <w:color w:val="auto"/>
              </w:rPr>
              <w:t>$ 7,386,026</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$ 7,232,349</w:t>
            </w:r>
          </w:p>
        </w:tc>
        <w:tc>
          <w:tcPr>
            <w:tcW w:w="1020" w:type="dxa"/>
            <w:vAlign w:val="bottom"/>
            <w:gridSpan w:val="2"/>
          </w:tcPr>
          <w:p>
            <w:pPr>
              <w:ind w:left="160"/>
              <w:spacing w:after="0"/>
              <w:rPr>
                <w:sz w:val="20"/>
                <w:szCs w:val="20"/>
                <w:color w:val="auto"/>
              </w:rPr>
            </w:pPr>
            <w:r>
              <w:rPr>
                <w:rFonts w:ascii="Arial" w:cs="Arial" w:eastAsia="Arial" w:hAnsi="Arial"/>
                <w:sz w:val="14"/>
                <w:szCs w:val="14"/>
                <w:color w:val="auto"/>
              </w:rPr>
              <w:t>$  2,511,589</w:t>
            </w:r>
          </w:p>
        </w:tc>
        <w:tc>
          <w:tcPr>
            <w:tcW w:w="600" w:type="dxa"/>
            <w:vAlign w:val="bottom"/>
            <w:gridSpan w:val="2"/>
          </w:tcPr>
          <w:p>
            <w:pPr>
              <w:ind w:left="220"/>
              <w:spacing w:after="0"/>
              <w:rPr>
                <w:sz w:val="20"/>
                <w:szCs w:val="20"/>
                <w:color w:val="auto"/>
              </w:rPr>
            </w:pPr>
            <w:r>
              <w:rPr>
                <w:rFonts w:ascii="Arial" w:cs="Arial" w:eastAsia="Arial" w:hAnsi="Arial"/>
                <w:sz w:val="14"/>
                <w:szCs w:val="14"/>
                <w:color w:val="auto"/>
                <w:w w:val="90"/>
              </w:rPr>
              <w:t>0.67%</w:t>
            </w:r>
          </w:p>
        </w:tc>
        <w:tc>
          <w:tcPr>
            <w:tcW w:w="0" w:type="dxa"/>
            <w:vAlign w:val="bottom"/>
          </w:tcPr>
          <w:p>
            <w:pPr>
              <w:spacing w:after="0"/>
              <w:rPr>
                <w:sz w:val="1"/>
                <w:szCs w:val="1"/>
                <w:color w:val="auto"/>
              </w:rPr>
            </w:pPr>
          </w:p>
        </w:tc>
      </w:tr>
    </w:tbl>
    <w:p>
      <w:pPr>
        <w:spacing w:after="0" w:line="384" w:lineRule="exact"/>
        <w:rPr>
          <w:sz w:val="20"/>
          <w:szCs w:val="20"/>
          <w:color w:val="auto"/>
        </w:rPr>
      </w:pPr>
    </w:p>
    <w:p>
      <w:pPr>
        <w:sectPr>
          <w:pgSz w:w="11900" w:h="16838" w:orient="portrait"/>
          <w:cols w:equalWidth="0" w:num="2">
            <w:col w:w="5660" w:space="40"/>
            <w:col w:w="4520"/>
          </w:cols>
          <w:pgMar w:left="320" w:top="131" w:right="1359" w:bottom="1440" w:gutter="0" w:footer="0" w:header="0"/>
          <w:type w:val="continuous"/>
        </w:sectPr>
      </w:pPr>
    </w:p>
    <w:tbl>
      <w:tblPr>
        <w:tblLayout w:type="fixed"/>
        <w:tblInd w:w="500" w:type="dxa"/>
        <w:tblCellMar>
          <w:top w:w="0" w:type="dxa"/>
          <w:left w:w="0" w:type="dxa"/>
          <w:bottom w:w="0" w:type="dxa"/>
          <w:right w:w="0" w:type="dxa"/>
        </w:tblCellMar>
      </w:tblPr>
      <w:tr>
        <w:trPr>
          <w:trHeight w:val="137"/>
        </w:trPr>
        <w:tc>
          <w:tcPr>
            <w:tcW w:w="1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460" w:type="dxa"/>
            <w:vAlign w:val="bottom"/>
          </w:tcPr>
          <w:p>
            <w:pPr>
              <w:ind w:left="60"/>
              <w:spacing w:after="0" w:line="137" w:lineRule="exact"/>
              <w:rPr>
                <w:sz w:val="20"/>
                <w:szCs w:val="20"/>
                <w:color w:val="auto"/>
              </w:rPr>
            </w:pPr>
            <w:r>
              <w:rPr>
                <w:rFonts w:ascii="Arial" w:cs="Arial" w:eastAsia="Arial" w:hAnsi="Arial"/>
                <w:sz w:val="14"/>
                <w:szCs w:val="14"/>
                <w:color w:val="auto"/>
              </w:rPr>
              <w:t>Tranche II: LIBOR+10.5% PIK,</w:t>
            </w:r>
          </w:p>
        </w:tc>
        <w:tc>
          <w:tcPr>
            <w:tcW w:w="900" w:type="dxa"/>
            <w:vAlign w:val="bottom"/>
          </w:tcPr>
          <w:p>
            <w:pPr>
              <w:jc w:val="center"/>
              <w:ind w:right="28"/>
              <w:spacing w:after="0" w:line="137" w:lineRule="exact"/>
              <w:rPr>
                <w:sz w:val="20"/>
                <w:szCs w:val="20"/>
                <w:color w:val="auto"/>
              </w:rPr>
            </w:pPr>
            <w:r>
              <w:rPr>
                <w:rFonts w:ascii="Arial" w:cs="Arial" w:eastAsia="Arial" w:hAnsi="Arial"/>
                <w:sz w:val="14"/>
                <w:szCs w:val="14"/>
                <w:color w:val="auto"/>
                <w:w w:val="96"/>
              </w:rPr>
              <w:t>7/25/2019</w:t>
            </w:r>
          </w:p>
        </w:tc>
        <w:tc>
          <w:tcPr>
            <w:tcW w:w="1020" w:type="dxa"/>
            <w:vAlign w:val="bottom"/>
          </w:tcPr>
          <w:p>
            <w:pPr>
              <w:jc w:val="right"/>
              <w:ind w:right="108"/>
              <w:spacing w:after="0" w:line="137" w:lineRule="exact"/>
              <w:rPr>
                <w:sz w:val="20"/>
                <w:szCs w:val="20"/>
                <w:color w:val="auto"/>
              </w:rPr>
            </w:pPr>
            <w:r>
              <w:rPr>
                <w:rFonts w:ascii="Arial" w:cs="Arial" w:eastAsia="Arial" w:hAnsi="Arial"/>
                <w:sz w:val="14"/>
                <w:szCs w:val="14"/>
                <w:color w:val="auto"/>
              </w:rPr>
              <w:t>2,000,000</w:t>
            </w:r>
          </w:p>
        </w:tc>
        <w:tc>
          <w:tcPr>
            <w:tcW w:w="1020" w:type="dxa"/>
            <w:vAlign w:val="bottom"/>
          </w:tcPr>
          <w:p>
            <w:pPr>
              <w:jc w:val="right"/>
              <w:ind w:right="128"/>
              <w:spacing w:after="0" w:line="137" w:lineRule="exact"/>
              <w:rPr>
                <w:sz w:val="20"/>
                <w:szCs w:val="20"/>
                <w:color w:val="auto"/>
              </w:rPr>
            </w:pPr>
            <w:r>
              <w:rPr>
                <w:rFonts w:ascii="Arial" w:cs="Arial" w:eastAsia="Arial" w:hAnsi="Arial"/>
                <w:sz w:val="14"/>
                <w:szCs w:val="14"/>
                <w:color w:val="auto"/>
              </w:rPr>
              <w:t>2,000,000</w:t>
            </w:r>
          </w:p>
        </w:tc>
        <w:tc>
          <w:tcPr>
            <w:tcW w:w="1000" w:type="dxa"/>
            <w:vAlign w:val="bottom"/>
          </w:tcPr>
          <w:p>
            <w:pPr>
              <w:jc w:val="right"/>
              <w:ind w:right="88"/>
              <w:spacing w:after="0" w:line="137" w:lineRule="exact"/>
              <w:rPr>
                <w:sz w:val="20"/>
                <w:szCs w:val="20"/>
                <w:color w:val="auto"/>
              </w:rPr>
            </w:pPr>
            <w:r>
              <w:rPr>
                <w:rFonts w:ascii="Arial" w:cs="Arial" w:eastAsia="Arial" w:hAnsi="Arial"/>
                <w:sz w:val="14"/>
                <w:szCs w:val="14"/>
                <w:color w:val="auto"/>
              </w:rPr>
              <w:t>1,800,000</w:t>
            </w:r>
          </w:p>
        </w:tc>
        <w:tc>
          <w:tcPr>
            <w:tcW w:w="540" w:type="dxa"/>
            <w:vAlign w:val="bottom"/>
          </w:tcPr>
          <w:p>
            <w:pPr>
              <w:jc w:val="right"/>
              <w:ind w:right="68"/>
              <w:spacing w:after="0" w:line="137" w:lineRule="exact"/>
              <w:rPr>
                <w:sz w:val="20"/>
                <w:szCs w:val="20"/>
                <w:color w:val="auto"/>
              </w:rPr>
            </w:pPr>
            <w:r>
              <w:rPr>
                <w:rFonts w:ascii="Arial" w:cs="Arial" w:eastAsia="Arial" w:hAnsi="Arial"/>
                <w:sz w:val="14"/>
                <w:szCs w:val="14"/>
                <w:color w:val="auto"/>
              </w:rPr>
              <w:t>0.48</w:t>
            </w:r>
          </w:p>
        </w:tc>
      </w:tr>
      <w:tr>
        <w:trPr>
          <w:trHeight w:val="140"/>
        </w:trPr>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60" w:type="dxa"/>
            <w:vAlign w:val="bottom"/>
          </w:tcPr>
          <w:p>
            <w:pPr>
              <w:ind w:left="60"/>
              <w:spacing w:after="0" w:line="141" w:lineRule="exact"/>
              <w:rPr>
                <w:sz w:val="20"/>
                <w:szCs w:val="20"/>
                <w:color w:val="auto"/>
              </w:rPr>
            </w:pPr>
            <w:r>
              <w:rPr>
                <w:rFonts w:ascii="Arial" w:cs="Arial" w:eastAsia="Arial" w:hAnsi="Arial"/>
                <w:sz w:val="14"/>
                <w:szCs w:val="14"/>
                <w:color w:val="auto"/>
              </w:rPr>
              <w:t>11.50% floor, Extension line,</w:t>
            </w: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57"/>
        </w:trPr>
        <w:tc>
          <w:tcPr>
            <w:tcW w:w="1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460" w:type="dxa"/>
            <w:vAlign w:val="bottom"/>
          </w:tcPr>
          <w:p>
            <w:pPr>
              <w:ind w:left="60"/>
              <w:spacing w:after="0"/>
              <w:rPr>
                <w:sz w:val="20"/>
                <w:szCs w:val="20"/>
                <w:color w:val="auto"/>
              </w:rPr>
            </w:pPr>
            <w:r>
              <w:rPr>
                <w:rFonts w:ascii="Arial" w:cs="Arial" w:eastAsia="Arial" w:hAnsi="Arial"/>
                <w:sz w:val="14"/>
                <w:szCs w:val="14"/>
                <w:color w:val="auto"/>
              </w:rPr>
              <w:t>due 2/15/2020</w:t>
            </w:r>
            <w:r>
              <w:rPr>
                <w:rFonts w:ascii="Arial" w:cs="Arial" w:eastAsia="Arial" w:hAnsi="Arial"/>
                <w:sz w:val="21"/>
                <w:szCs w:val="21"/>
                <w:color w:val="auto"/>
                <w:vertAlign w:val="superscript"/>
              </w:rPr>
              <w:t>(4),(8),(12)</w:t>
            </w:r>
          </w:p>
        </w:tc>
        <w:tc>
          <w:tcPr>
            <w:tcW w:w="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70"/>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Aria Systems, Inc.</w:t>
            </w:r>
          </w:p>
        </w:tc>
        <w:tc>
          <w:tcPr>
            <w:tcW w:w="15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Application Software</w:t>
            </w:r>
          </w:p>
        </w:tc>
        <w:tc>
          <w:tcPr>
            <w:tcW w:w="2460" w:type="dxa"/>
            <w:vAlign w:val="bottom"/>
            <w:shd w:val="clear" w:color="auto" w:fill="CCEEFF"/>
          </w:tcPr>
          <w:p>
            <w:pPr>
              <w:ind w:left="60"/>
              <w:spacing w:after="0"/>
              <w:rPr>
                <w:sz w:val="20"/>
                <w:szCs w:val="20"/>
                <w:color w:val="auto"/>
              </w:rPr>
            </w:pPr>
            <w:r>
              <w:rPr>
                <w:rFonts w:ascii="Arial" w:cs="Arial" w:eastAsia="Arial" w:hAnsi="Arial"/>
                <w:sz w:val="14"/>
                <w:szCs w:val="14"/>
                <w:color w:val="auto"/>
                <w:w w:val="97"/>
              </w:rPr>
              <w:t>LIBOR+9.0%, 11.35% floor, 4.5% ETP,</w:t>
            </w:r>
          </w:p>
        </w:tc>
        <w:tc>
          <w:tcPr>
            <w:tcW w:w="9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6"/>
              </w:rPr>
              <w:t>6/29/2018</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25,000,000</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25,016,698</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24,863,442</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6.61</w:t>
            </w: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due 12/15/2021</w:t>
            </w:r>
          </w:p>
        </w:tc>
        <w:tc>
          <w:tcPr>
            <w:tcW w:w="9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170"/>
        </w:trPr>
        <w:tc>
          <w:tcPr>
            <w:tcW w:w="1260" w:type="dxa"/>
            <w:vAlign w:val="bottom"/>
          </w:tcPr>
          <w:p>
            <w:pPr>
              <w:ind w:left="140"/>
              <w:spacing w:after="0"/>
              <w:rPr>
                <w:sz w:val="20"/>
                <w:szCs w:val="20"/>
                <w:color w:val="auto"/>
              </w:rPr>
            </w:pPr>
            <w:r>
              <w:rPr>
                <w:rFonts w:ascii="Arial" w:cs="Arial" w:eastAsia="Arial" w:hAnsi="Arial"/>
                <w:sz w:val="14"/>
                <w:szCs w:val="14"/>
                <w:color w:val="auto"/>
              </w:rPr>
              <w:t>Brilliant Earth,</w:t>
            </w:r>
          </w:p>
        </w:tc>
        <w:tc>
          <w:tcPr>
            <w:tcW w:w="1520" w:type="dxa"/>
            <w:vAlign w:val="bottom"/>
          </w:tcPr>
          <w:p>
            <w:pPr>
              <w:ind w:left="60"/>
              <w:spacing w:after="0"/>
              <w:rPr>
                <w:sz w:val="20"/>
                <w:szCs w:val="20"/>
                <w:color w:val="auto"/>
              </w:rPr>
            </w:pPr>
            <w:r>
              <w:rPr>
                <w:rFonts w:ascii="Arial" w:cs="Arial" w:eastAsia="Arial" w:hAnsi="Arial"/>
                <w:sz w:val="14"/>
                <w:szCs w:val="14"/>
                <w:color w:val="auto"/>
              </w:rPr>
              <w:t>Internet Retail</w:t>
            </w:r>
          </w:p>
        </w:tc>
        <w:tc>
          <w:tcPr>
            <w:tcW w:w="2460" w:type="dxa"/>
            <w:vAlign w:val="bottom"/>
          </w:tcPr>
          <w:p>
            <w:pPr>
              <w:ind w:left="60"/>
              <w:spacing w:after="0"/>
              <w:rPr>
                <w:sz w:val="20"/>
                <w:szCs w:val="20"/>
                <w:color w:val="auto"/>
              </w:rPr>
            </w:pPr>
            <w:r>
              <w:rPr>
                <w:rFonts w:ascii="Arial" w:cs="Arial" w:eastAsia="Arial" w:hAnsi="Arial"/>
                <w:sz w:val="14"/>
                <w:szCs w:val="14"/>
                <w:color w:val="auto"/>
              </w:rPr>
              <w:t>LIBOR+8.25%, 10.40% floor, 4.5%</w:t>
            </w:r>
          </w:p>
        </w:tc>
        <w:tc>
          <w:tcPr>
            <w:tcW w:w="900" w:type="dxa"/>
            <w:vAlign w:val="bottom"/>
          </w:tcPr>
          <w:p>
            <w:pPr>
              <w:jc w:val="center"/>
              <w:ind w:right="28"/>
              <w:spacing w:after="0"/>
              <w:rPr>
                <w:sz w:val="20"/>
                <w:szCs w:val="20"/>
                <w:color w:val="auto"/>
              </w:rPr>
            </w:pPr>
            <w:r>
              <w:rPr>
                <w:rFonts w:ascii="Arial" w:cs="Arial" w:eastAsia="Arial" w:hAnsi="Arial"/>
                <w:sz w:val="14"/>
                <w:szCs w:val="14"/>
                <w:color w:val="auto"/>
                <w:w w:val="96"/>
              </w:rPr>
              <w:t>9/30/2019</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35,000,000</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33,795,605</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33,795,605</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8.98</w:t>
            </w:r>
          </w:p>
        </w:tc>
      </w:tr>
      <w:tr>
        <w:trPr>
          <w:trHeight w:val="182"/>
        </w:trPr>
        <w:tc>
          <w:tcPr>
            <w:tcW w:w="1260" w:type="dxa"/>
            <w:vAlign w:val="bottom"/>
          </w:tcPr>
          <w:p>
            <w:pPr>
              <w:ind w:left="280"/>
              <w:spacing w:after="0"/>
              <w:rPr>
                <w:sz w:val="20"/>
                <w:szCs w:val="20"/>
                <w:color w:val="auto"/>
              </w:rPr>
            </w:pPr>
            <w:r>
              <w:rPr>
                <w:rFonts w:ascii="Arial" w:cs="Arial" w:eastAsia="Arial" w:hAnsi="Arial"/>
                <w:sz w:val="14"/>
                <w:szCs w:val="14"/>
                <w:color w:val="auto"/>
              </w:rPr>
              <w:t>LLC</w:t>
            </w:r>
          </w:p>
        </w:tc>
        <w:tc>
          <w:tcPr>
            <w:tcW w:w="1520" w:type="dxa"/>
            <w:vAlign w:val="bottom"/>
          </w:tcPr>
          <w:p>
            <w:pPr>
              <w:spacing w:after="0"/>
              <w:rPr>
                <w:sz w:val="15"/>
                <w:szCs w:val="15"/>
                <w:color w:val="auto"/>
              </w:rPr>
            </w:pPr>
          </w:p>
        </w:tc>
        <w:tc>
          <w:tcPr>
            <w:tcW w:w="2460" w:type="dxa"/>
            <w:vAlign w:val="bottom"/>
          </w:tcPr>
          <w:p>
            <w:pPr>
              <w:ind w:left="60"/>
              <w:spacing w:after="0"/>
              <w:rPr>
                <w:sz w:val="20"/>
                <w:szCs w:val="20"/>
                <w:color w:val="auto"/>
              </w:rPr>
            </w:pPr>
            <w:r>
              <w:rPr>
                <w:rFonts w:ascii="Arial" w:cs="Arial" w:eastAsia="Arial" w:hAnsi="Arial"/>
                <w:sz w:val="14"/>
                <w:szCs w:val="14"/>
                <w:color w:val="auto"/>
              </w:rPr>
              <w:t>ETP, due 4/15/2023</w:t>
            </w: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53"/>
        </w:trPr>
        <w:tc>
          <w:tcPr>
            <w:tcW w:w="12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170"/>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CareCloud</w:t>
            </w:r>
          </w:p>
        </w:tc>
        <w:tc>
          <w:tcPr>
            <w:tcW w:w="1520" w:type="dxa"/>
            <w:vAlign w:val="bottom"/>
            <w:shd w:val="clear" w:color="auto" w:fill="CCEEFF"/>
          </w:tcPr>
          <w:p>
            <w:pPr>
              <w:ind w:left="60"/>
              <w:spacing w:after="0"/>
              <w:rPr>
                <w:sz w:val="20"/>
                <w:szCs w:val="20"/>
                <w:color w:val="auto"/>
              </w:rPr>
            </w:pPr>
            <w:r>
              <w:rPr>
                <w:rFonts w:ascii="Arial" w:cs="Arial" w:eastAsia="Arial" w:hAnsi="Arial"/>
                <w:sz w:val="14"/>
                <w:szCs w:val="14"/>
                <w:color w:val="auto"/>
              </w:rPr>
              <w:t>Healthcare Technology</w:t>
            </w:r>
          </w:p>
        </w:tc>
        <w:tc>
          <w:tcPr>
            <w:tcW w:w="2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Prime+7.0%, 11.75% floor, 3.5% ETP,</w:t>
            </w:r>
          </w:p>
        </w:tc>
        <w:tc>
          <w:tcPr>
            <w:tcW w:w="9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6"/>
              </w:rPr>
              <w:t>6/19/2018</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25,000,000</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24,994,734</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23,320,627</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6.20</w:t>
            </w:r>
          </w:p>
        </w:tc>
      </w:tr>
      <w:tr>
        <w:trPr>
          <w:trHeight w:val="215"/>
        </w:trPr>
        <w:tc>
          <w:tcPr>
            <w:tcW w:w="1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Corporation</w:t>
            </w:r>
          </w:p>
        </w:tc>
        <w:tc>
          <w:tcPr>
            <w:tcW w:w="15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due 6/15/2022</w:t>
            </w:r>
          </w:p>
        </w:tc>
        <w:tc>
          <w:tcPr>
            <w:tcW w:w="9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170"/>
        </w:trPr>
        <w:tc>
          <w:tcPr>
            <w:tcW w:w="1260" w:type="dxa"/>
            <w:vAlign w:val="bottom"/>
          </w:tcPr>
          <w:p>
            <w:pPr>
              <w:ind w:left="140"/>
              <w:spacing w:after="0"/>
              <w:rPr>
                <w:sz w:val="20"/>
                <w:szCs w:val="20"/>
                <w:color w:val="auto"/>
              </w:rPr>
            </w:pPr>
            <w:r>
              <w:rPr>
                <w:rFonts w:ascii="Arial" w:cs="Arial" w:eastAsia="Arial" w:hAnsi="Arial"/>
                <w:sz w:val="14"/>
                <w:szCs w:val="14"/>
                <w:color w:val="auto"/>
              </w:rPr>
              <w:t>Circadence</w:t>
            </w:r>
          </w:p>
        </w:tc>
        <w:tc>
          <w:tcPr>
            <w:tcW w:w="1520" w:type="dxa"/>
            <w:vAlign w:val="bottom"/>
          </w:tcPr>
          <w:p>
            <w:pPr>
              <w:ind w:left="60"/>
              <w:spacing w:after="0"/>
              <w:rPr>
                <w:sz w:val="20"/>
                <w:szCs w:val="20"/>
                <w:color w:val="auto"/>
              </w:rPr>
            </w:pPr>
            <w:r>
              <w:rPr>
                <w:rFonts w:ascii="Arial" w:cs="Arial" w:eastAsia="Arial" w:hAnsi="Arial"/>
                <w:sz w:val="14"/>
                <w:szCs w:val="14"/>
                <w:color w:val="auto"/>
              </w:rPr>
              <w:t>Application Software</w:t>
            </w:r>
          </w:p>
        </w:tc>
        <w:tc>
          <w:tcPr>
            <w:tcW w:w="2460" w:type="dxa"/>
            <w:vAlign w:val="bottom"/>
          </w:tcPr>
          <w:p>
            <w:pPr>
              <w:ind w:left="60"/>
              <w:spacing w:after="0"/>
              <w:rPr>
                <w:sz w:val="20"/>
                <w:szCs w:val="20"/>
                <w:color w:val="auto"/>
              </w:rPr>
            </w:pPr>
            <w:r>
              <w:rPr>
                <w:rFonts w:ascii="Arial" w:cs="Arial" w:eastAsia="Arial" w:hAnsi="Arial"/>
                <w:sz w:val="14"/>
                <w:szCs w:val="14"/>
                <w:color w:val="auto"/>
              </w:rPr>
              <w:t>LIBOR+9.50%, 12.0% floor, 6% ETP,</w:t>
            </w:r>
          </w:p>
        </w:tc>
        <w:tc>
          <w:tcPr>
            <w:tcW w:w="900" w:type="dxa"/>
            <w:vAlign w:val="bottom"/>
          </w:tcPr>
          <w:p>
            <w:pPr>
              <w:jc w:val="center"/>
              <w:ind w:right="28"/>
              <w:spacing w:after="0"/>
              <w:rPr>
                <w:sz w:val="20"/>
                <w:szCs w:val="20"/>
                <w:color w:val="auto"/>
              </w:rPr>
            </w:pPr>
            <w:r>
              <w:rPr>
                <w:rFonts w:ascii="Arial" w:cs="Arial" w:eastAsia="Arial" w:hAnsi="Arial"/>
                <w:sz w:val="14"/>
                <w:szCs w:val="14"/>
                <w:color w:val="auto"/>
                <w:w w:val="91"/>
              </w:rPr>
              <w:t>12/20/2018</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18,000,000</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15,038,641</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15,485,065</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4.11</w:t>
            </w:r>
          </w:p>
        </w:tc>
      </w:tr>
      <w:tr>
        <w:trPr>
          <w:trHeight w:val="182"/>
        </w:trPr>
        <w:tc>
          <w:tcPr>
            <w:tcW w:w="1260" w:type="dxa"/>
            <w:vAlign w:val="bottom"/>
          </w:tcPr>
          <w:p>
            <w:pPr>
              <w:ind w:left="280"/>
              <w:spacing w:after="0"/>
              <w:rPr>
                <w:sz w:val="20"/>
                <w:szCs w:val="20"/>
                <w:color w:val="auto"/>
              </w:rPr>
            </w:pPr>
            <w:r>
              <w:rPr>
                <w:rFonts w:ascii="Arial" w:cs="Arial" w:eastAsia="Arial" w:hAnsi="Arial"/>
                <w:sz w:val="14"/>
                <w:szCs w:val="14"/>
                <w:color w:val="auto"/>
              </w:rPr>
              <w:t>Corporation</w:t>
            </w:r>
          </w:p>
        </w:tc>
        <w:tc>
          <w:tcPr>
            <w:tcW w:w="1520" w:type="dxa"/>
            <w:vAlign w:val="bottom"/>
          </w:tcPr>
          <w:p>
            <w:pPr>
              <w:spacing w:after="0"/>
              <w:rPr>
                <w:sz w:val="15"/>
                <w:szCs w:val="15"/>
                <w:color w:val="auto"/>
              </w:rPr>
            </w:pPr>
          </w:p>
        </w:tc>
        <w:tc>
          <w:tcPr>
            <w:tcW w:w="2460" w:type="dxa"/>
            <w:vAlign w:val="bottom"/>
          </w:tcPr>
          <w:p>
            <w:pPr>
              <w:ind w:left="60"/>
              <w:spacing w:after="0"/>
              <w:rPr>
                <w:sz w:val="20"/>
                <w:szCs w:val="20"/>
                <w:color w:val="auto"/>
              </w:rPr>
            </w:pPr>
            <w:r>
              <w:rPr>
                <w:rFonts w:ascii="Arial" w:cs="Arial" w:eastAsia="Arial" w:hAnsi="Arial"/>
                <w:sz w:val="14"/>
                <w:szCs w:val="14"/>
                <w:color w:val="auto"/>
              </w:rPr>
              <w:t>due 12/15/2022</w:t>
            </w: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53"/>
        </w:trPr>
        <w:tc>
          <w:tcPr>
            <w:tcW w:w="12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162"/>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Cloud Passage,</w:t>
            </w:r>
          </w:p>
        </w:tc>
        <w:tc>
          <w:tcPr>
            <w:tcW w:w="152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Data Processing &amp;</w:t>
            </w:r>
          </w:p>
        </w:tc>
        <w:tc>
          <w:tcPr>
            <w:tcW w:w="2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LIBOR+7.50%, 1% PIK, 10.00% floor,</w:t>
            </w:r>
          </w:p>
        </w:tc>
        <w:tc>
          <w:tcPr>
            <w:tcW w:w="9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6"/>
              </w:rPr>
              <w:t>6/13/2019</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7,538,624</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7,280,486</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7,280,486</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1.93</w:t>
            </w:r>
          </w:p>
        </w:tc>
      </w:tr>
      <w:tr>
        <w:trPr>
          <w:trHeight w:val="257"/>
        </w:trPr>
        <w:tc>
          <w:tcPr>
            <w:tcW w:w="1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w:t>
            </w:r>
          </w:p>
        </w:tc>
        <w:tc>
          <w:tcPr>
            <w:tcW w:w="1520" w:type="dxa"/>
            <w:vAlign w:val="bottom"/>
            <w:shd w:val="clear" w:color="auto" w:fill="CCEEFF"/>
          </w:tcPr>
          <w:p>
            <w:pPr>
              <w:ind w:left="60"/>
              <w:spacing w:after="0"/>
              <w:rPr>
                <w:sz w:val="20"/>
                <w:szCs w:val="20"/>
                <w:color w:val="auto"/>
              </w:rPr>
            </w:pPr>
            <w:r>
              <w:rPr>
                <w:rFonts w:ascii="Arial" w:cs="Arial" w:eastAsia="Arial" w:hAnsi="Arial"/>
                <w:sz w:val="14"/>
                <w:szCs w:val="14"/>
                <w:color w:val="auto"/>
              </w:rPr>
              <w:t>Outsourced Services</w:t>
            </w:r>
          </w:p>
        </w:tc>
        <w:tc>
          <w:tcPr>
            <w:tcW w:w="2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2.75% ETP, due 6/13/2023</w:t>
            </w:r>
            <w:r>
              <w:rPr>
                <w:rFonts w:ascii="Arial" w:cs="Arial" w:eastAsia="Arial" w:hAnsi="Arial"/>
                <w:sz w:val="21"/>
                <w:szCs w:val="21"/>
                <w:color w:val="auto"/>
                <w:vertAlign w:val="superscript"/>
              </w:rPr>
              <w:t>(4)</w:t>
            </w:r>
          </w:p>
        </w:tc>
        <w:tc>
          <w:tcPr>
            <w:tcW w:w="9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r>
      <w:tr>
        <w:trPr>
          <w:trHeight w:val="162"/>
        </w:trPr>
        <w:tc>
          <w:tcPr>
            <w:tcW w:w="1260" w:type="dxa"/>
            <w:vAlign w:val="bottom"/>
          </w:tcPr>
          <w:p>
            <w:pPr>
              <w:ind w:left="140"/>
              <w:spacing w:after="0"/>
              <w:rPr>
                <w:sz w:val="20"/>
                <w:szCs w:val="20"/>
                <w:color w:val="auto"/>
              </w:rPr>
            </w:pPr>
            <w:r>
              <w:rPr>
                <w:rFonts w:ascii="Arial" w:cs="Arial" w:eastAsia="Arial" w:hAnsi="Arial"/>
                <w:sz w:val="14"/>
                <w:szCs w:val="14"/>
                <w:color w:val="auto"/>
              </w:rPr>
              <w:t>Dejero Labs Inc.</w:t>
            </w:r>
          </w:p>
        </w:tc>
        <w:tc>
          <w:tcPr>
            <w:tcW w:w="1520" w:type="dxa"/>
            <w:vAlign w:val="bottom"/>
          </w:tcPr>
          <w:p>
            <w:pPr>
              <w:ind w:left="60"/>
              <w:spacing w:after="0"/>
              <w:rPr>
                <w:sz w:val="20"/>
                <w:szCs w:val="20"/>
                <w:color w:val="auto"/>
              </w:rPr>
            </w:pPr>
            <w:r>
              <w:rPr>
                <w:rFonts w:ascii="Arial" w:cs="Arial" w:eastAsia="Arial" w:hAnsi="Arial"/>
                <w:sz w:val="14"/>
                <w:szCs w:val="14"/>
                <w:color w:val="auto"/>
              </w:rPr>
              <w:t>Data Processing &amp;</w:t>
            </w:r>
          </w:p>
        </w:tc>
        <w:tc>
          <w:tcPr>
            <w:tcW w:w="2460" w:type="dxa"/>
            <w:vAlign w:val="bottom"/>
          </w:tcPr>
          <w:p>
            <w:pPr>
              <w:ind w:left="60"/>
              <w:spacing w:after="0"/>
              <w:rPr>
                <w:sz w:val="20"/>
                <w:szCs w:val="20"/>
                <w:color w:val="auto"/>
              </w:rPr>
            </w:pPr>
            <w:r>
              <w:rPr>
                <w:rFonts w:ascii="Arial" w:cs="Arial" w:eastAsia="Arial" w:hAnsi="Arial"/>
                <w:sz w:val="14"/>
                <w:szCs w:val="14"/>
                <w:color w:val="auto"/>
              </w:rPr>
              <w:t>LIBOR+9.25%, 11.75% floor, 4.5%</w:t>
            </w:r>
          </w:p>
        </w:tc>
        <w:tc>
          <w:tcPr>
            <w:tcW w:w="900" w:type="dxa"/>
            <w:vAlign w:val="bottom"/>
          </w:tcPr>
          <w:p>
            <w:pPr>
              <w:jc w:val="center"/>
              <w:ind w:right="28"/>
              <w:spacing w:after="0"/>
              <w:rPr>
                <w:sz w:val="20"/>
                <w:szCs w:val="20"/>
                <w:color w:val="auto"/>
              </w:rPr>
            </w:pPr>
            <w:r>
              <w:rPr>
                <w:rFonts w:ascii="Arial" w:cs="Arial" w:eastAsia="Arial" w:hAnsi="Arial"/>
                <w:sz w:val="14"/>
                <w:szCs w:val="14"/>
                <w:color w:val="auto"/>
                <w:w w:val="96"/>
              </w:rPr>
              <w:t>5/31/2019</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11,000,000</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10,797,612</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10,797,612</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2.87</w:t>
            </w:r>
          </w:p>
        </w:tc>
      </w:tr>
      <w:tr>
        <w:trPr>
          <w:trHeight w:val="257"/>
        </w:trPr>
        <w:tc>
          <w:tcPr>
            <w:tcW w:w="1260" w:type="dxa"/>
            <w:vAlign w:val="bottom"/>
          </w:tcPr>
          <w:p>
            <w:pPr>
              <w:spacing w:after="0"/>
              <w:rPr>
                <w:sz w:val="22"/>
                <w:szCs w:val="22"/>
                <w:color w:val="auto"/>
              </w:rPr>
            </w:pPr>
          </w:p>
        </w:tc>
        <w:tc>
          <w:tcPr>
            <w:tcW w:w="1520" w:type="dxa"/>
            <w:vAlign w:val="bottom"/>
          </w:tcPr>
          <w:p>
            <w:pPr>
              <w:ind w:left="60"/>
              <w:spacing w:after="0"/>
              <w:rPr>
                <w:sz w:val="20"/>
                <w:szCs w:val="20"/>
                <w:color w:val="auto"/>
              </w:rPr>
            </w:pPr>
            <w:r>
              <w:rPr>
                <w:rFonts w:ascii="Arial" w:cs="Arial" w:eastAsia="Arial" w:hAnsi="Arial"/>
                <w:sz w:val="14"/>
                <w:szCs w:val="14"/>
                <w:color w:val="auto"/>
              </w:rPr>
              <w:t>Outsourced Services</w:t>
            </w:r>
          </w:p>
        </w:tc>
        <w:tc>
          <w:tcPr>
            <w:tcW w:w="2460" w:type="dxa"/>
            <w:vAlign w:val="bottom"/>
          </w:tcPr>
          <w:p>
            <w:pPr>
              <w:ind w:left="60"/>
              <w:spacing w:after="0"/>
              <w:rPr>
                <w:sz w:val="20"/>
                <w:szCs w:val="20"/>
                <w:color w:val="auto"/>
              </w:rPr>
            </w:pPr>
            <w:r>
              <w:rPr>
                <w:rFonts w:ascii="Arial" w:cs="Arial" w:eastAsia="Arial" w:hAnsi="Arial"/>
                <w:sz w:val="14"/>
                <w:szCs w:val="14"/>
                <w:color w:val="auto"/>
              </w:rPr>
              <w:t>ETP, due 5/31/2023</w:t>
            </w:r>
            <w:r>
              <w:rPr>
                <w:rFonts w:ascii="Arial" w:cs="Arial" w:eastAsia="Arial" w:hAnsi="Arial"/>
                <w:sz w:val="21"/>
                <w:szCs w:val="21"/>
                <w:color w:val="auto"/>
                <w:vertAlign w:val="superscript"/>
              </w:rPr>
              <w:t>(3),(7)</w:t>
            </w:r>
          </w:p>
        </w:tc>
        <w:tc>
          <w:tcPr>
            <w:tcW w:w="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70"/>
        </w:trPr>
        <w:tc>
          <w:tcPr>
            <w:tcW w:w="27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Dtex Systems, Inc. Application Software</w:t>
            </w:r>
          </w:p>
        </w:tc>
        <w:tc>
          <w:tcPr>
            <w:tcW w:w="2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LIBOR+10.65% PIK, 13% floor,</w:t>
            </w:r>
          </w:p>
        </w:tc>
        <w:tc>
          <w:tcPr>
            <w:tcW w:w="9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5"/>
              </w:rPr>
              <w:t>6/1/2018</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8,130,147</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8,233,588</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8,436,559</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w:t>
            </w: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4.875% ETP, due 11/15/2021</w:t>
            </w:r>
          </w:p>
        </w:tc>
        <w:tc>
          <w:tcPr>
            <w:tcW w:w="9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170"/>
        </w:trPr>
        <w:tc>
          <w:tcPr>
            <w:tcW w:w="1260" w:type="dxa"/>
            <w:vAlign w:val="bottom"/>
          </w:tcPr>
          <w:p>
            <w:pPr>
              <w:ind w:left="140"/>
              <w:spacing w:after="0"/>
              <w:rPr>
                <w:sz w:val="20"/>
                <w:szCs w:val="20"/>
                <w:color w:val="auto"/>
              </w:rPr>
            </w:pPr>
            <w:r>
              <w:rPr>
                <w:rFonts w:ascii="Arial" w:cs="Arial" w:eastAsia="Arial" w:hAnsi="Arial"/>
                <w:sz w:val="14"/>
                <w:szCs w:val="14"/>
                <w:color w:val="auto"/>
              </w:rPr>
              <w:t>Echo 360</w:t>
            </w:r>
          </w:p>
        </w:tc>
        <w:tc>
          <w:tcPr>
            <w:tcW w:w="1520" w:type="dxa"/>
            <w:vAlign w:val="bottom"/>
          </w:tcPr>
          <w:p>
            <w:pPr>
              <w:ind w:left="60"/>
              <w:spacing w:after="0"/>
              <w:rPr>
                <w:sz w:val="20"/>
                <w:szCs w:val="20"/>
                <w:color w:val="auto"/>
              </w:rPr>
            </w:pPr>
            <w:r>
              <w:rPr>
                <w:rFonts w:ascii="Arial" w:cs="Arial" w:eastAsia="Arial" w:hAnsi="Arial"/>
                <w:sz w:val="14"/>
                <w:szCs w:val="14"/>
                <w:color w:val="auto"/>
              </w:rPr>
              <w:t>Education Services</w:t>
            </w:r>
          </w:p>
        </w:tc>
        <w:tc>
          <w:tcPr>
            <w:tcW w:w="2460" w:type="dxa"/>
            <w:vAlign w:val="bottom"/>
          </w:tcPr>
          <w:p>
            <w:pPr>
              <w:ind w:left="60"/>
              <w:spacing w:after="0"/>
              <w:rPr>
                <w:sz w:val="20"/>
                <w:szCs w:val="20"/>
                <w:color w:val="auto"/>
              </w:rPr>
            </w:pPr>
            <w:r>
              <w:rPr>
                <w:rFonts w:ascii="Arial" w:cs="Arial" w:eastAsia="Arial" w:hAnsi="Arial"/>
                <w:sz w:val="14"/>
                <w:szCs w:val="14"/>
                <w:color w:val="auto"/>
              </w:rPr>
              <w:t>Tranche I: LIBOR+9.25%, 12.05%</w:t>
            </w:r>
          </w:p>
        </w:tc>
        <w:tc>
          <w:tcPr>
            <w:tcW w:w="900" w:type="dxa"/>
            <w:vAlign w:val="bottom"/>
          </w:tcPr>
          <w:p>
            <w:pPr>
              <w:jc w:val="center"/>
              <w:ind w:right="28"/>
              <w:spacing w:after="0"/>
              <w:rPr>
                <w:sz w:val="20"/>
                <w:szCs w:val="20"/>
                <w:color w:val="auto"/>
              </w:rPr>
            </w:pPr>
            <w:r>
              <w:rPr>
                <w:rFonts w:ascii="Arial" w:cs="Arial" w:eastAsia="Arial" w:hAnsi="Arial"/>
                <w:sz w:val="14"/>
                <w:szCs w:val="14"/>
                <w:color w:val="auto"/>
                <w:w w:val="95"/>
              </w:rPr>
              <w:t>5/3/2019</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14,000,000</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13,773,561</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13,773,561</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3.66</w:t>
            </w:r>
          </w:p>
        </w:tc>
      </w:tr>
      <w:tr>
        <w:trPr>
          <w:trHeight w:val="182"/>
        </w:trPr>
        <w:tc>
          <w:tcPr>
            <w:tcW w:w="1260" w:type="dxa"/>
            <w:vAlign w:val="bottom"/>
          </w:tcPr>
          <w:p>
            <w:pPr>
              <w:ind w:left="280"/>
              <w:spacing w:after="0"/>
              <w:rPr>
                <w:sz w:val="20"/>
                <w:szCs w:val="20"/>
                <w:color w:val="auto"/>
              </w:rPr>
            </w:pPr>
            <w:r>
              <w:rPr>
                <w:rFonts w:ascii="Arial" w:cs="Arial" w:eastAsia="Arial" w:hAnsi="Arial"/>
                <w:sz w:val="14"/>
                <w:szCs w:val="14"/>
                <w:color w:val="auto"/>
              </w:rPr>
              <w:t>Holdings, Inc.</w:t>
            </w:r>
          </w:p>
        </w:tc>
        <w:tc>
          <w:tcPr>
            <w:tcW w:w="1520" w:type="dxa"/>
            <w:vAlign w:val="bottom"/>
          </w:tcPr>
          <w:p>
            <w:pPr>
              <w:spacing w:after="0"/>
              <w:rPr>
                <w:sz w:val="15"/>
                <w:szCs w:val="15"/>
                <w:color w:val="auto"/>
              </w:rPr>
            </w:pPr>
          </w:p>
        </w:tc>
        <w:tc>
          <w:tcPr>
            <w:tcW w:w="2460" w:type="dxa"/>
            <w:vAlign w:val="bottom"/>
          </w:tcPr>
          <w:p>
            <w:pPr>
              <w:ind w:left="60"/>
              <w:spacing w:after="0"/>
              <w:rPr>
                <w:sz w:val="20"/>
                <w:szCs w:val="20"/>
                <w:color w:val="auto"/>
              </w:rPr>
            </w:pPr>
            <w:r>
              <w:rPr>
                <w:rFonts w:ascii="Arial" w:cs="Arial" w:eastAsia="Arial" w:hAnsi="Arial"/>
                <w:sz w:val="14"/>
                <w:szCs w:val="14"/>
                <w:color w:val="auto"/>
              </w:rPr>
              <w:t>floor, 4.0% ETP, due 5/3/2023</w:t>
            </w: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53"/>
        </w:trPr>
        <w:tc>
          <w:tcPr>
            <w:tcW w:w="12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170"/>
        </w:trPr>
        <w:tc>
          <w:tcPr>
            <w:tcW w:w="1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Tranche II: LIBOR+9.25%, 12.05%</w:t>
            </w:r>
          </w:p>
        </w:tc>
        <w:tc>
          <w:tcPr>
            <w:tcW w:w="9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5"/>
              </w:rPr>
              <w:t>5/3/2019</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3,000,000</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2,973,193</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2,970,709</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0.79</w:t>
            </w: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floor, 4.0% ETP, due 5/3/2023</w:t>
            </w:r>
          </w:p>
        </w:tc>
        <w:tc>
          <w:tcPr>
            <w:tcW w:w="9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170"/>
        </w:trPr>
        <w:tc>
          <w:tcPr>
            <w:tcW w:w="1260" w:type="dxa"/>
            <w:vAlign w:val="bottom"/>
          </w:tcPr>
          <w:p>
            <w:pPr>
              <w:ind w:left="140"/>
              <w:spacing w:after="0"/>
              <w:rPr>
                <w:sz w:val="20"/>
                <w:szCs w:val="20"/>
                <w:color w:val="auto"/>
              </w:rPr>
            </w:pPr>
            <w:r>
              <w:rPr>
                <w:rFonts w:ascii="Arial" w:cs="Arial" w:eastAsia="Arial" w:hAnsi="Arial"/>
                <w:sz w:val="14"/>
                <w:szCs w:val="14"/>
                <w:color w:val="auto"/>
              </w:rPr>
              <w:t>eSilicon</w:t>
            </w:r>
          </w:p>
        </w:tc>
        <w:tc>
          <w:tcPr>
            <w:tcW w:w="1520" w:type="dxa"/>
            <w:vAlign w:val="bottom"/>
          </w:tcPr>
          <w:p>
            <w:pPr>
              <w:ind w:left="60"/>
              <w:spacing w:after="0"/>
              <w:rPr>
                <w:sz w:val="20"/>
                <w:szCs w:val="20"/>
                <w:color w:val="auto"/>
              </w:rPr>
            </w:pPr>
            <w:r>
              <w:rPr>
                <w:rFonts w:ascii="Arial" w:cs="Arial" w:eastAsia="Arial" w:hAnsi="Arial"/>
                <w:sz w:val="14"/>
                <w:szCs w:val="14"/>
                <w:color w:val="auto"/>
              </w:rPr>
              <w:t>Semiconductors</w:t>
            </w:r>
          </w:p>
        </w:tc>
        <w:tc>
          <w:tcPr>
            <w:tcW w:w="2460" w:type="dxa"/>
            <w:vAlign w:val="bottom"/>
          </w:tcPr>
          <w:p>
            <w:pPr>
              <w:ind w:left="60"/>
              <w:spacing w:after="0"/>
              <w:rPr>
                <w:sz w:val="20"/>
                <w:szCs w:val="20"/>
                <w:color w:val="auto"/>
              </w:rPr>
            </w:pPr>
            <w:r>
              <w:rPr>
                <w:rFonts w:ascii="Arial" w:cs="Arial" w:eastAsia="Arial" w:hAnsi="Arial"/>
                <w:sz w:val="14"/>
                <w:szCs w:val="14"/>
                <w:color w:val="auto"/>
              </w:rPr>
              <w:t>Tranche I: LIBOR+10.50%, 13% floor,</w:t>
            </w:r>
          </w:p>
        </w:tc>
        <w:tc>
          <w:tcPr>
            <w:tcW w:w="900" w:type="dxa"/>
            <w:vAlign w:val="bottom"/>
          </w:tcPr>
          <w:p>
            <w:pPr>
              <w:jc w:val="center"/>
              <w:ind w:right="28"/>
              <w:spacing w:after="0"/>
              <w:rPr>
                <w:sz w:val="20"/>
                <w:szCs w:val="20"/>
                <w:color w:val="auto"/>
              </w:rPr>
            </w:pPr>
            <w:r>
              <w:rPr>
                <w:rFonts w:ascii="Arial" w:cs="Arial" w:eastAsia="Arial" w:hAnsi="Arial"/>
                <w:sz w:val="14"/>
                <w:szCs w:val="14"/>
                <w:color w:val="auto"/>
                <w:w w:val="96"/>
              </w:rPr>
              <w:t>7/31/2017</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2,916,667</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3,323,305</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3,442,998</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0.91</w:t>
            </w:r>
          </w:p>
        </w:tc>
      </w:tr>
      <w:tr>
        <w:trPr>
          <w:trHeight w:val="182"/>
        </w:trPr>
        <w:tc>
          <w:tcPr>
            <w:tcW w:w="1260" w:type="dxa"/>
            <w:vAlign w:val="bottom"/>
          </w:tcPr>
          <w:p>
            <w:pPr>
              <w:ind w:left="280"/>
              <w:spacing w:after="0"/>
              <w:rPr>
                <w:sz w:val="20"/>
                <w:szCs w:val="20"/>
                <w:color w:val="auto"/>
              </w:rPr>
            </w:pPr>
            <w:r>
              <w:rPr>
                <w:rFonts w:ascii="Arial" w:cs="Arial" w:eastAsia="Arial" w:hAnsi="Arial"/>
                <w:sz w:val="14"/>
                <w:szCs w:val="14"/>
                <w:color w:val="auto"/>
              </w:rPr>
              <w:t>Corporation</w:t>
            </w:r>
          </w:p>
        </w:tc>
        <w:tc>
          <w:tcPr>
            <w:tcW w:w="1520" w:type="dxa"/>
            <w:vAlign w:val="bottom"/>
          </w:tcPr>
          <w:p>
            <w:pPr>
              <w:spacing w:after="0"/>
              <w:rPr>
                <w:sz w:val="15"/>
                <w:szCs w:val="15"/>
                <w:color w:val="auto"/>
              </w:rPr>
            </w:pPr>
          </w:p>
        </w:tc>
        <w:tc>
          <w:tcPr>
            <w:tcW w:w="2460" w:type="dxa"/>
            <w:vAlign w:val="bottom"/>
          </w:tcPr>
          <w:p>
            <w:pPr>
              <w:ind w:left="60"/>
              <w:spacing w:after="0"/>
              <w:rPr>
                <w:sz w:val="20"/>
                <w:szCs w:val="20"/>
                <w:color w:val="auto"/>
              </w:rPr>
            </w:pPr>
            <w:r>
              <w:rPr>
                <w:rFonts w:ascii="Arial" w:cs="Arial" w:eastAsia="Arial" w:hAnsi="Arial"/>
                <w:sz w:val="14"/>
                <w:szCs w:val="14"/>
                <w:color w:val="auto"/>
              </w:rPr>
              <w:t>5% ETP, due 7/15/2020</w:t>
            </w: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53"/>
        </w:trPr>
        <w:tc>
          <w:tcPr>
            <w:tcW w:w="12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170"/>
        </w:trPr>
        <w:tc>
          <w:tcPr>
            <w:tcW w:w="1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60" w:type="dxa"/>
            <w:vAlign w:val="bottom"/>
            <w:shd w:val="clear" w:color="auto" w:fill="CCEEFF"/>
          </w:tcPr>
          <w:p>
            <w:pPr>
              <w:ind w:left="60"/>
              <w:spacing w:after="0"/>
              <w:rPr>
                <w:sz w:val="20"/>
                <w:szCs w:val="20"/>
                <w:color w:val="auto"/>
              </w:rPr>
            </w:pPr>
            <w:r>
              <w:rPr>
                <w:rFonts w:ascii="Arial" w:cs="Arial" w:eastAsia="Arial" w:hAnsi="Arial"/>
                <w:sz w:val="14"/>
                <w:szCs w:val="14"/>
                <w:color w:val="auto"/>
                <w:w w:val="99"/>
              </w:rPr>
              <w:t>Tranche II: LIBOR+10.50%, 13% floor,</w:t>
            </w:r>
          </w:p>
        </w:tc>
        <w:tc>
          <w:tcPr>
            <w:tcW w:w="9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5"/>
              </w:rPr>
              <w:t>2/8/2018</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2,708,333</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2,886,855</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2,982,784</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0.79</w:t>
            </w: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5% ETP, due 1/15/2021</w:t>
            </w:r>
          </w:p>
        </w:tc>
        <w:tc>
          <w:tcPr>
            <w:tcW w:w="9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170"/>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4"/>
                <w:szCs w:val="14"/>
                <w:color w:val="auto"/>
              </w:rPr>
              <w:t>Tranche III: LIBOR+10.50%, 13%</w:t>
            </w:r>
          </w:p>
        </w:tc>
        <w:tc>
          <w:tcPr>
            <w:tcW w:w="900" w:type="dxa"/>
            <w:vAlign w:val="bottom"/>
          </w:tcPr>
          <w:p>
            <w:pPr>
              <w:jc w:val="center"/>
              <w:ind w:right="28"/>
              <w:spacing w:after="0"/>
              <w:rPr>
                <w:sz w:val="20"/>
                <w:szCs w:val="20"/>
                <w:color w:val="auto"/>
              </w:rPr>
            </w:pPr>
            <w:r>
              <w:rPr>
                <w:rFonts w:ascii="Arial" w:cs="Arial" w:eastAsia="Arial" w:hAnsi="Arial"/>
                <w:sz w:val="14"/>
                <w:szCs w:val="14"/>
                <w:color w:val="auto"/>
                <w:w w:val="96"/>
              </w:rPr>
              <w:t>6/21/2019</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10,000,000</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10,177,163</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11,063,021</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2.94</w:t>
            </w:r>
          </w:p>
        </w:tc>
      </w:tr>
      <w:tr>
        <w:trPr>
          <w:trHeight w:val="182"/>
        </w:trPr>
        <w:tc>
          <w:tcPr>
            <w:tcW w:w="1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60" w:type="dxa"/>
            <w:vAlign w:val="bottom"/>
          </w:tcPr>
          <w:p>
            <w:pPr>
              <w:ind w:left="60"/>
              <w:spacing w:after="0"/>
              <w:rPr>
                <w:sz w:val="20"/>
                <w:szCs w:val="20"/>
                <w:color w:val="auto"/>
              </w:rPr>
            </w:pPr>
            <w:r>
              <w:rPr>
                <w:rFonts w:ascii="Arial" w:cs="Arial" w:eastAsia="Arial" w:hAnsi="Arial"/>
                <w:sz w:val="14"/>
                <w:szCs w:val="14"/>
                <w:color w:val="auto"/>
              </w:rPr>
              <w:t>floor, 5% ETP, due 6/15/2020</w:t>
            </w: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52"/>
        </w:trPr>
        <w:tc>
          <w:tcPr>
            <w:tcW w:w="12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170"/>
        </w:trPr>
        <w:tc>
          <w:tcPr>
            <w:tcW w:w="1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Tranche IV: Prime+2.75%, Revolving</w:t>
            </w:r>
          </w:p>
        </w:tc>
        <w:tc>
          <w:tcPr>
            <w:tcW w:w="9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6"/>
              </w:rPr>
              <w:t>6/21/2019</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11,000,000</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11,000,000</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10,590,278</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2.81</w:t>
            </w: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line, due 6/15/2020</w:t>
            </w:r>
          </w:p>
        </w:tc>
        <w:tc>
          <w:tcPr>
            <w:tcW w:w="9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170"/>
        </w:trPr>
        <w:tc>
          <w:tcPr>
            <w:tcW w:w="1260" w:type="dxa"/>
            <w:vAlign w:val="bottom"/>
          </w:tcPr>
          <w:p>
            <w:pPr>
              <w:ind w:left="140"/>
              <w:spacing w:after="0"/>
              <w:rPr>
                <w:sz w:val="20"/>
                <w:szCs w:val="20"/>
                <w:color w:val="auto"/>
              </w:rPr>
            </w:pPr>
            <w:r>
              <w:rPr>
                <w:rFonts w:ascii="Arial" w:cs="Arial" w:eastAsia="Arial" w:hAnsi="Arial"/>
                <w:sz w:val="14"/>
                <w:szCs w:val="14"/>
                <w:color w:val="auto"/>
              </w:rPr>
              <w:t>INRIX, Inc.</w:t>
            </w:r>
          </w:p>
        </w:tc>
        <w:tc>
          <w:tcPr>
            <w:tcW w:w="1520" w:type="dxa"/>
            <w:vAlign w:val="bottom"/>
          </w:tcPr>
          <w:p>
            <w:pPr>
              <w:ind w:left="60"/>
              <w:spacing w:after="0"/>
              <w:rPr>
                <w:sz w:val="20"/>
                <w:szCs w:val="20"/>
                <w:color w:val="auto"/>
              </w:rPr>
            </w:pPr>
            <w:r>
              <w:rPr>
                <w:rFonts w:ascii="Arial" w:cs="Arial" w:eastAsia="Arial" w:hAnsi="Arial"/>
                <w:sz w:val="14"/>
                <w:szCs w:val="14"/>
                <w:color w:val="auto"/>
              </w:rPr>
              <w:t>Internet Software and</w:t>
            </w:r>
          </w:p>
        </w:tc>
        <w:tc>
          <w:tcPr>
            <w:tcW w:w="2460" w:type="dxa"/>
            <w:vAlign w:val="bottom"/>
          </w:tcPr>
          <w:p>
            <w:pPr>
              <w:ind w:left="60"/>
              <w:spacing w:after="0"/>
              <w:rPr>
                <w:sz w:val="20"/>
                <w:szCs w:val="20"/>
                <w:color w:val="auto"/>
              </w:rPr>
            </w:pPr>
            <w:r>
              <w:rPr>
                <w:rFonts w:ascii="Arial" w:cs="Arial" w:eastAsia="Arial" w:hAnsi="Arial"/>
                <w:sz w:val="14"/>
                <w:szCs w:val="14"/>
                <w:color w:val="auto"/>
              </w:rPr>
              <w:t>Tranche I: LIBOR+8.0%, 10.5% floor,</w:t>
            </w:r>
          </w:p>
        </w:tc>
        <w:tc>
          <w:tcPr>
            <w:tcW w:w="900" w:type="dxa"/>
            <w:vAlign w:val="bottom"/>
          </w:tcPr>
          <w:p>
            <w:pPr>
              <w:jc w:val="center"/>
              <w:ind w:right="28"/>
              <w:spacing w:after="0"/>
              <w:rPr>
                <w:sz w:val="20"/>
                <w:szCs w:val="20"/>
                <w:color w:val="auto"/>
              </w:rPr>
            </w:pPr>
            <w:r>
              <w:rPr>
                <w:rFonts w:ascii="Arial" w:cs="Arial" w:eastAsia="Arial" w:hAnsi="Arial"/>
                <w:sz w:val="14"/>
                <w:szCs w:val="14"/>
                <w:color w:val="auto"/>
                <w:w w:val="96"/>
              </w:rPr>
              <w:t>7/26/2019</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20,000,000</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19,600,991</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19,600,991</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5.21</w:t>
            </w:r>
          </w:p>
        </w:tc>
      </w:tr>
      <w:tr>
        <w:trPr>
          <w:trHeight w:val="182"/>
        </w:trPr>
        <w:tc>
          <w:tcPr>
            <w:tcW w:w="126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4"/>
                <w:szCs w:val="14"/>
                <w:color w:val="auto"/>
              </w:rPr>
              <w:t>Services</w:t>
            </w:r>
          </w:p>
        </w:tc>
        <w:tc>
          <w:tcPr>
            <w:tcW w:w="2460" w:type="dxa"/>
            <w:vAlign w:val="bottom"/>
          </w:tcPr>
          <w:p>
            <w:pPr>
              <w:ind w:left="60"/>
              <w:spacing w:after="0"/>
              <w:rPr>
                <w:sz w:val="20"/>
                <w:szCs w:val="20"/>
                <w:color w:val="auto"/>
              </w:rPr>
            </w:pPr>
            <w:r>
              <w:rPr>
                <w:rFonts w:ascii="Arial" w:cs="Arial" w:eastAsia="Arial" w:hAnsi="Arial"/>
                <w:sz w:val="14"/>
                <w:szCs w:val="14"/>
                <w:color w:val="auto"/>
              </w:rPr>
              <w:t>2.5% ETP, due 7/15/2023</w:t>
            </w: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53"/>
        </w:trPr>
        <w:tc>
          <w:tcPr>
            <w:tcW w:w="12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170"/>
        </w:trPr>
        <w:tc>
          <w:tcPr>
            <w:tcW w:w="1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Tranche I: LIBOR+8.0%, 10.5% floor,</w:t>
            </w:r>
          </w:p>
        </w:tc>
        <w:tc>
          <w:tcPr>
            <w:tcW w:w="9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6"/>
              </w:rPr>
              <w:t>7/26/2019</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5,000,000</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4,703,249</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4,703,249</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w:t>
            </w: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2.5% ETP, due 7/15/2023</w:t>
            </w:r>
          </w:p>
        </w:tc>
        <w:tc>
          <w:tcPr>
            <w:tcW w:w="9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170"/>
        </w:trPr>
        <w:tc>
          <w:tcPr>
            <w:tcW w:w="1260" w:type="dxa"/>
            <w:vAlign w:val="bottom"/>
          </w:tcPr>
          <w:p>
            <w:pPr>
              <w:ind w:left="140"/>
              <w:spacing w:after="0"/>
              <w:rPr>
                <w:sz w:val="20"/>
                <w:szCs w:val="20"/>
                <w:color w:val="auto"/>
              </w:rPr>
            </w:pPr>
            <w:r>
              <w:rPr>
                <w:rFonts w:ascii="Arial" w:cs="Arial" w:eastAsia="Arial" w:hAnsi="Arial"/>
                <w:sz w:val="14"/>
                <w:szCs w:val="14"/>
                <w:color w:val="auto"/>
              </w:rPr>
              <w:t>Longtail Ad</w:t>
            </w:r>
          </w:p>
        </w:tc>
        <w:tc>
          <w:tcPr>
            <w:tcW w:w="1520" w:type="dxa"/>
            <w:vAlign w:val="bottom"/>
          </w:tcPr>
          <w:p>
            <w:pPr>
              <w:ind w:left="60"/>
              <w:spacing w:after="0"/>
              <w:rPr>
                <w:sz w:val="20"/>
                <w:szCs w:val="20"/>
                <w:color w:val="auto"/>
              </w:rPr>
            </w:pPr>
            <w:r>
              <w:rPr>
                <w:rFonts w:ascii="Arial" w:cs="Arial" w:eastAsia="Arial" w:hAnsi="Arial"/>
                <w:sz w:val="14"/>
                <w:szCs w:val="14"/>
                <w:color w:val="auto"/>
              </w:rPr>
              <w:t>Internet Software and</w:t>
            </w:r>
          </w:p>
        </w:tc>
        <w:tc>
          <w:tcPr>
            <w:tcW w:w="2460" w:type="dxa"/>
            <w:vAlign w:val="bottom"/>
          </w:tcPr>
          <w:p>
            <w:pPr>
              <w:ind w:left="60"/>
              <w:spacing w:after="0"/>
              <w:rPr>
                <w:sz w:val="20"/>
                <w:szCs w:val="20"/>
                <w:color w:val="auto"/>
              </w:rPr>
            </w:pPr>
            <w:r>
              <w:rPr>
                <w:rFonts w:ascii="Arial" w:cs="Arial" w:eastAsia="Arial" w:hAnsi="Arial"/>
                <w:sz w:val="14"/>
                <w:szCs w:val="14"/>
                <w:color w:val="auto"/>
                <w:w w:val="97"/>
              </w:rPr>
              <w:t>LIBOR+8.75%. 10.75% Floor, 3% ETP,</w:t>
            </w:r>
          </w:p>
        </w:tc>
        <w:tc>
          <w:tcPr>
            <w:tcW w:w="900" w:type="dxa"/>
            <w:vAlign w:val="bottom"/>
          </w:tcPr>
          <w:p>
            <w:pPr>
              <w:jc w:val="center"/>
              <w:ind w:right="28"/>
              <w:spacing w:after="0"/>
              <w:rPr>
                <w:sz w:val="20"/>
                <w:szCs w:val="20"/>
                <w:color w:val="auto"/>
              </w:rPr>
            </w:pPr>
            <w:r>
              <w:rPr>
                <w:rFonts w:ascii="Arial" w:cs="Arial" w:eastAsia="Arial" w:hAnsi="Arial"/>
                <w:sz w:val="14"/>
                <w:szCs w:val="14"/>
                <w:color w:val="auto"/>
                <w:w w:val="91"/>
              </w:rPr>
              <w:t>12/12/2019</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25,000,000</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24,655,194</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24,655,194</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6.55</w:t>
            </w:r>
          </w:p>
        </w:tc>
      </w:tr>
      <w:tr>
        <w:trPr>
          <w:trHeight w:val="149"/>
        </w:trPr>
        <w:tc>
          <w:tcPr>
            <w:tcW w:w="1260" w:type="dxa"/>
            <w:vAlign w:val="bottom"/>
          </w:tcPr>
          <w:p>
            <w:pPr>
              <w:ind w:left="280"/>
              <w:spacing w:after="0" w:line="149" w:lineRule="exact"/>
              <w:rPr>
                <w:sz w:val="20"/>
                <w:szCs w:val="20"/>
                <w:color w:val="auto"/>
              </w:rPr>
            </w:pPr>
            <w:r>
              <w:rPr>
                <w:rFonts w:ascii="Arial" w:cs="Arial" w:eastAsia="Arial" w:hAnsi="Arial"/>
                <w:sz w:val="14"/>
                <w:szCs w:val="14"/>
                <w:color w:val="auto"/>
              </w:rPr>
              <w:t>Solutions, Inc.</w:t>
            </w:r>
          </w:p>
        </w:tc>
        <w:tc>
          <w:tcPr>
            <w:tcW w:w="1520" w:type="dxa"/>
            <w:vAlign w:val="bottom"/>
          </w:tcPr>
          <w:p>
            <w:pPr>
              <w:ind w:left="60"/>
              <w:spacing w:after="0" w:line="149" w:lineRule="exact"/>
              <w:rPr>
                <w:sz w:val="20"/>
                <w:szCs w:val="20"/>
                <w:color w:val="auto"/>
              </w:rPr>
            </w:pPr>
            <w:r>
              <w:rPr>
                <w:rFonts w:ascii="Arial" w:cs="Arial" w:eastAsia="Arial" w:hAnsi="Arial"/>
                <w:sz w:val="14"/>
                <w:szCs w:val="14"/>
                <w:color w:val="auto"/>
              </w:rPr>
              <w:t>Services</w:t>
            </w:r>
          </w:p>
        </w:tc>
        <w:tc>
          <w:tcPr>
            <w:tcW w:w="2460" w:type="dxa"/>
            <w:vAlign w:val="bottom"/>
          </w:tcPr>
          <w:p>
            <w:pPr>
              <w:ind w:left="60"/>
              <w:spacing w:after="0" w:line="149" w:lineRule="exact"/>
              <w:rPr>
                <w:sz w:val="20"/>
                <w:szCs w:val="20"/>
                <w:color w:val="auto"/>
              </w:rPr>
            </w:pPr>
            <w:r>
              <w:rPr>
                <w:rFonts w:ascii="Arial" w:cs="Arial" w:eastAsia="Arial" w:hAnsi="Arial"/>
                <w:sz w:val="14"/>
                <w:szCs w:val="14"/>
                <w:color w:val="auto"/>
              </w:rPr>
              <w:t>due 6/15/2023</w:t>
            </w: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1260" w:type="dxa"/>
            <w:vAlign w:val="bottom"/>
          </w:tcPr>
          <w:p>
            <w:pPr>
              <w:ind w:left="280"/>
              <w:spacing w:after="0" w:line="149" w:lineRule="exact"/>
              <w:rPr>
                <w:sz w:val="20"/>
                <w:szCs w:val="20"/>
                <w:color w:val="auto"/>
              </w:rPr>
            </w:pPr>
            <w:r>
              <w:rPr>
                <w:rFonts w:ascii="Arial" w:cs="Arial" w:eastAsia="Arial" w:hAnsi="Arial"/>
                <w:sz w:val="14"/>
                <w:szCs w:val="14"/>
                <w:color w:val="auto"/>
              </w:rPr>
              <w:t>(dba JW</w:t>
            </w:r>
          </w:p>
        </w:tc>
        <w:tc>
          <w:tcPr>
            <w:tcW w:w="15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82"/>
        </w:trPr>
        <w:tc>
          <w:tcPr>
            <w:tcW w:w="1260" w:type="dxa"/>
            <w:vAlign w:val="bottom"/>
          </w:tcPr>
          <w:p>
            <w:pPr>
              <w:ind w:left="280"/>
              <w:spacing w:after="0"/>
              <w:rPr>
                <w:sz w:val="20"/>
                <w:szCs w:val="20"/>
                <w:color w:val="auto"/>
              </w:rPr>
            </w:pPr>
            <w:r>
              <w:rPr>
                <w:rFonts w:ascii="Arial" w:cs="Arial" w:eastAsia="Arial" w:hAnsi="Arial"/>
                <w:sz w:val="14"/>
                <w:szCs w:val="14"/>
                <w:color w:val="auto"/>
              </w:rPr>
              <w:t>Player)</w:t>
            </w:r>
          </w:p>
        </w:tc>
        <w:tc>
          <w:tcPr>
            <w:tcW w:w="15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53"/>
        </w:trPr>
        <w:tc>
          <w:tcPr>
            <w:tcW w:w="12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170"/>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Massdrop Inc.</w:t>
            </w:r>
          </w:p>
        </w:tc>
        <w:tc>
          <w:tcPr>
            <w:tcW w:w="15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7"/>
              </w:rPr>
              <w:t>Computer &amp; Electronics</w:t>
            </w:r>
          </w:p>
        </w:tc>
        <w:tc>
          <w:tcPr>
            <w:tcW w:w="2460" w:type="dxa"/>
            <w:vAlign w:val="bottom"/>
            <w:shd w:val="clear" w:color="auto" w:fill="CCEEFF"/>
          </w:tcPr>
          <w:p>
            <w:pPr>
              <w:ind w:left="60"/>
              <w:spacing w:after="0"/>
              <w:rPr>
                <w:sz w:val="20"/>
                <w:szCs w:val="20"/>
                <w:color w:val="auto"/>
              </w:rPr>
            </w:pPr>
            <w:r>
              <w:rPr>
                <w:rFonts w:ascii="Arial" w:cs="Arial" w:eastAsia="Arial" w:hAnsi="Arial"/>
                <w:sz w:val="14"/>
                <w:szCs w:val="14"/>
                <w:color w:val="auto"/>
                <w:w w:val="99"/>
              </w:rPr>
              <w:t>LIBOR+8.25%, 10.65% floor, 4% ETP,</w:t>
            </w:r>
          </w:p>
        </w:tc>
        <w:tc>
          <w:tcPr>
            <w:tcW w:w="9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6"/>
              </w:rPr>
              <w:t>7/22/2019</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17,500,000</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17,220,865</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17,220,865</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4.58</w:t>
            </w: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Retail</w:t>
            </w:r>
          </w:p>
        </w:tc>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due 1/15/2023</w:t>
            </w:r>
          </w:p>
        </w:tc>
        <w:tc>
          <w:tcPr>
            <w:tcW w:w="9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162"/>
        </w:trPr>
        <w:tc>
          <w:tcPr>
            <w:tcW w:w="1260" w:type="dxa"/>
            <w:vAlign w:val="bottom"/>
          </w:tcPr>
          <w:p>
            <w:pPr>
              <w:ind w:left="140"/>
              <w:spacing w:after="0"/>
              <w:rPr>
                <w:sz w:val="20"/>
                <w:szCs w:val="20"/>
                <w:color w:val="auto"/>
              </w:rPr>
            </w:pPr>
            <w:r>
              <w:rPr>
                <w:rFonts w:ascii="Arial" w:cs="Arial" w:eastAsia="Arial" w:hAnsi="Arial"/>
                <w:sz w:val="14"/>
                <w:szCs w:val="14"/>
                <w:color w:val="auto"/>
              </w:rPr>
              <w:t>MingleHealth</w:t>
            </w:r>
          </w:p>
        </w:tc>
        <w:tc>
          <w:tcPr>
            <w:tcW w:w="1520" w:type="dxa"/>
            <w:vAlign w:val="bottom"/>
          </w:tcPr>
          <w:p>
            <w:pPr>
              <w:ind w:left="60"/>
              <w:spacing w:after="0"/>
              <w:rPr>
                <w:sz w:val="20"/>
                <w:szCs w:val="20"/>
                <w:color w:val="auto"/>
              </w:rPr>
            </w:pPr>
            <w:r>
              <w:rPr>
                <w:rFonts w:ascii="Arial" w:cs="Arial" w:eastAsia="Arial" w:hAnsi="Arial"/>
                <w:sz w:val="14"/>
                <w:szCs w:val="14"/>
                <w:color w:val="auto"/>
              </w:rPr>
              <w:t>Healthcare Technology</w:t>
            </w:r>
          </w:p>
        </w:tc>
        <w:tc>
          <w:tcPr>
            <w:tcW w:w="2460" w:type="dxa"/>
            <w:vAlign w:val="bottom"/>
          </w:tcPr>
          <w:p>
            <w:pPr>
              <w:ind w:left="60"/>
              <w:spacing w:after="0"/>
              <w:rPr>
                <w:sz w:val="20"/>
                <w:szCs w:val="20"/>
                <w:color w:val="auto"/>
              </w:rPr>
            </w:pPr>
            <w:r>
              <w:rPr>
                <w:rFonts w:ascii="Arial" w:cs="Arial" w:eastAsia="Arial" w:hAnsi="Arial"/>
                <w:sz w:val="14"/>
                <w:szCs w:val="14"/>
                <w:color w:val="auto"/>
              </w:rPr>
              <w:t>LIBOR+9.5%, 11.75% floor, 4% ETP,</w:t>
            </w:r>
          </w:p>
        </w:tc>
        <w:tc>
          <w:tcPr>
            <w:tcW w:w="900" w:type="dxa"/>
            <w:vAlign w:val="bottom"/>
          </w:tcPr>
          <w:p>
            <w:pPr>
              <w:jc w:val="center"/>
              <w:ind w:right="28"/>
              <w:spacing w:after="0"/>
              <w:rPr>
                <w:sz w:val="20"/>
                <w:szCs w:val="20"/>
                <w:color w:val="auto"/>
              </w:rPr>
            </w:pPr>
            <w:r>
              <w:rPr>
                <w:rFonts w:ascii="Arial" w:cs="Arial" w:eastAsia="Arial" w:hAnsi="Arial"/>
                <w:sz w:val="14"/>
                <w:szCs w:val="14"/>
                <w:color w:val="auto"/>
                <w:w w:val="96"/>
              </w:rPr>
              <w:t>8/15/2019</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6,000,000</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5,783,543</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5,417,339</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1.44</w:t>
            </w:r>
          </w:p>
        </w:tc>
      </w:tr>
      <w:tr>
        <w:trPr>
          <w:trHeight w:val="169"/>
        </w:trPr>
        <w:tc>
          <w:tcPr>
            <w:tcW w:w="1260" w:type="dxa"/>
            <w:vAlign w:val="bottom"/>
          </w:tcPr>
          <w:p>
            <w:pPr>
              <w:ind w:left="280"/>
              <w:spacing w:after="0"/>
              <w:rPr>
                <w:sz w:val="20"/>
                <w:szCs w:val="20"/>
                <w:color w:val="auto"/>
              </w:rPr>
            </w:pPr>
            <w:r>
              <w:rPr>
                <w:rFonts w:ascii="Arial" w:cs="Arial" w:eastAsia="Arial" w:hAnsi="Arial"/>
                <w:sz w:val="14"/>
                <w:szCs w:val="14"/>
                <w:color w:val="auto"/>
              </w:rPr>
              <w:t>Care Solutions,</w:t>
            </w:r>
          </w:p>
        </w:tc>
        <w:tc>
          <w:tcPr>
            <w:tcW w:w="1520" w:type="dxa"/>
            <w:vAlign w:val="bottom"/>
          </w:tcPr>
          <w:p>
            <w:pPr>
              <w:spacing w:after="0"/>
              <w:rPr>
                <w:sz w:val="14"/>
                <w:szCs w:val="14"/>
                <w:color w:val="auto"/>
              </w:rPr>
            </w:pPr>
          </w:p>
        </w:tc>
        <w:tc>
          <w:tcPr>
            <w:tcW w:w="2460" w:type="dxa"/>
            <w:vAlign w:val="bottom"/>
          </w:tcPr>
          <w:p>
            <w:pPr>
              <w:ind w:left="60"/>
              <w:spacing w:after="0" w:line="169" w:lineRule="exact"/>
              <w:rPr>
                <w:sz w:val="20"/>
                <w:szCs w:val="20"/>
                <w:color w:val="auto"/>
              </w:rPr>
            </w:pPr>
            <w:r>
              <w:rPr>
                <w:rFonts w:ascii="Arial" w:cs="Arial" w:eastAsia="Arial" w:hAnsi="Arial"/>
                <w:sz w:val="13"/>
                <w:szCs w:val="13"/>
                <w:color w:val="auto"/>
              </w:rPr>
              <w:t>due 8/15/2022</w:t>
            </w:r>
            <w:r>
              <w:rPr>
                <w:rFonts w:ascii="Arial" w:cs="Arial" w:eastAsia="Arial" w:hAnsi="Arial"/>
                <w:sz w:val="19"/>
                <w:szCs w:val="19"/>
                <w:color w:val="auto"/>
                <w:vertAlign w:val="superscript"/>
              </w:rPr>
              <w:t>(12)</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ind w:left="780"/>
        <w:spacing w:after="0"/>
        <w:rPr>
          <w:sz w:val="20"/>
          <w:szCs w:val="20"/>
          <w:color w:val="auto"/>
        </w:rPr>
      </w:pPr>
      <w:r>
        <w:rPr>
          <w:rFonts w:ascii="Arial" w:cs="Arial" w:eastAsia="Arial" w:hAnsi="Arial"/>
          <w:sz w:val="14"/>
          <w:szCs w:val="14"/>
          <w:color w:val="auto"/>
        </w:rPr>
        <w:t>Inc.</w:t>
      </w:r>
    </w:p>
    <w:p>
      <w:pPr>
        <w:spacing w:after="0" w:line="39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2019</w:t>
      </w:r>
    </w:p>
    <w:p>
      <w:pPr>
        <w:spacing w:after="0" w:line="13"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jc w:val="center"/>
              <w:ind w:left="4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6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89"/>
              </w:rPr>
              <w:t>Investment Description</w:t>
            </w:r>
            <w:r>
              <w:rPr>
                <w:rFonts w:ascii="Arial" w:cs="Arial" w:eastAsia="Arial" w:hAnsi="Arial"/>
                <w:sz w:val="21"/>
                <w:szCs w:val="21"/>
                <w:b w:val="1"/>
                <w:bCs w:val="1"/>
                <w:color w:val="auto"/>
                <w:w w:val="89"/>
                <w:vertAlign w:val="superscript"/>
              </w:rPr>
              <w:t>(1),(5),(6),(11)</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Acquisition</w:t>
            </w: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Principal/</w:t>
            </w:r>
          </w:p>
        </w:tc>
        <w:tc>
          <w:tcPr>
            <w:tcW w:w="820" w:type="dxa"/>
            <w:vAlign w:val="bottom"/>
          </w:tcPr>
          <w:p>
            <w:pPr>
              <w:spacing w:after="0"/>
              <w:rPr>
                <w:sz w:val="14"/>
                <w:szCs w:val="14"/>
                <w:color w:val="auto"/>
              </w:rPr>
            </w:pPr>
          </w:p>
        </w:tc>
        <w:tc>
          <w:tcPr>
            <w:tcW w:w="11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1"/>
                <w:szCs w:val="21"/>
                <w:b w:val="1"/>
                <w:bCs w:val="1"/>
                <w:color w:val="auto"/>
                <w:vertAlign w:val="superscript"/>
              </w:rPr>
              <w:t>(2)</w:t>
            </w:r>
          </w:p>
        </w:tc>
        <w:tc>
          <w:tcPr>
            <w:tcW w:w="500" w:type="dxa"/>
            <w:vAlign w:val="bottom"/>
          </w:tcPr>
          <w:p>
            <w:pPr>
              <w:jc w:val="center"/>
              <w:ind w:left="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40"/>
        </w:trPr>
        <w:tc>
          <w:tcPr>
            <w:tcW w:w="1460" w:type="dxa"/>
            <w:vAlign w:val="bottom"/>
          </w:tcPr>
          <w:p>
            <w:pPr>
              <w:spacing w:after="0"/>
              <w:rPr>
                <w:sz w:val="20"/>
                <w:szCs w:val="20"/>
                <w:color w:val="auto"/>
              </w:rPr>
            </w:pPr>
            <w:r>
              <w:rPr>
                <w:rFonts w:ascii="Arial" w:cs="Arial" w:eastAsia="Arial" w:hAnsi="Arial"/>
                <w:sz w:val="14"/>
                <w:szCs w:val="14"/>
                <w:b w:val="1"/>
                <w:bCs w:val="1"/>
                <w:color w:val="auto"/>
              </w:rPr>
              <w:t>Portfolio Companies</w:t>
            </w:r>
          </w:p>
        </w:tc>
        <w:tc>
          <w:tcPr>
            <w:tcW w:w="1240" w:type="dxa"/>
            <w:vAlign w:val="bottom"/>
          </w:tcPr>
          <w:p>
            <w:pPr>
              <w:ind w:left="180"/>
              <w:spacing w:after="0"/>
              <w:rPr>
                <w:sz w:val="20"/>
                <w:szCs w:val="20"/>
                <w:color w:val="auto"/>
              </w:rPr>
            </w:pPr>
            <w:r>
              <w:rPr>
                <w:rFonts w:ascii="Arial" w:cs="Arial" w:eastAsia="Arial" w:hAnsi="Arial"/>
                <w:sz w:val="14"/>
                <w:szCs w:val="14"/>
                <w:b w:val="1"/>
                <w:bCs w:val="1"/>
                <w:color w:val="auto"/>
              </w:rPr>
              <w:t>Sub-Industry</w:t>
            </w:r>
          </w:p>
        </w:tc>
        <w:tc>
          <w:tcPr>
            <w:tcW w:w="2460" w:type="dxa"/>
            <w:vAlign w:val="bottom"/>
            <w:vMerge w:val="continue"/>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tcPr>
          <w:p>
            <w:pPr>
              <w:ind w:left="300"/>
              <w:spacing w:after="0"/>
              <w:rPr>
                <w:sz w:val="20"/>
                <w:szCs w:val="20"/>
                <w:color w:val="auto"/>
              </w:rPr>
            </w:pPr>
            <w:r>
              <w:rPr>
                <w:rFonts w:ascii="Arial" w:cs="Arial" w:eastAsia="Arial" w:hAnsi="Arial"/>
                <w:sz w:val="14"/>
                <w:szCs w:val="14"/>
                <w:b w:val="1"/>
                <w:bCs w:val="1"/>
                <w:color w:val="auto"/>
              </w:rPr>
              <w:t>Cost</w:t>
            </w:r>
          </w:p>
        </w:tc>
        <w:tc>
          <w:tcPr>
            <w:tcW w:w="1140" w:type="dxa"/>
            <w:vAlign w:val="bottom"/>
            <w:vMerge w:val="continue"/>
          </w:tcPr>
          <w:p>
            <w:pPr>
              <w:spacing w:after="0"/>
              <w:rPr>
                <w:sz w:val="20"/>
                <w:szCs w:val="20"/>
                <w:color w:val="auto"/>
              </w:rPr>
            </w:pPr>
          </w:p>
        </w:tc>
        <w:tc>
          <w:tcPr>
            <w:tcW w:w="500" w:type="dxa"/>
            <w:vAlign w:val="bottom"/>
          </w:tcPr>
          <w:p>
            <w:pPr>
              <w:jc w:val="center"/>
              <w:ind w:left="4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6180455"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80455" cy="16319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b w:val="1"/>
          <w:bCs w:val="1"/>
          <w:u w:val="single" w:color="auto"/>
          <w:color w:val="auto"/>
        </w:rPr>
        <w:t>Non-control/non-affiliate investments (continued)</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Senior Secured Term Loans (continued)</w:t>
      </w:r>
    </w:p>
    <w:p>
      <w:pPr>
        <w:spacing w:after="0" w:line="64" w:lineRule="exact"/>
        <w:rPr>
          <w:sz w:val="20"/>
          <w:szCs w:val="20"/>
          <w:color w:val="auto"/>
        </w:rPr>
      </w:pPr>
    </w:p>
    <w:tbl>
      <w:tblPr>
        <w:tblLayout w:type="fixed"/>
        <w:tblInd w:w="500" w:type="dxa"/>
        <w:tblCellMar>
          <w:top w:w="0" w:type="dxa"/>
          <w:left w:w="0" w:type="dxa"/>
          <w:bottom w:w="0" w:type="dxa"/>
          <w:right w:w="0" w:type="dxa"/>
        </w:tblCellMar>
      </w:tblPr>
      <w:tr>
        <w:trPr>
          <w:trHeight w:val="170"/>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Mojix, Inc.</w:t>
            </w:r>
          </w:p>
        </w:tc>
        <w:tc>
          <w:tcPr>
            <w:tcW w:w="15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Application Software</w:t>
            </w:r>
          </w:p>
        </w:tc>
        <w:tc>
          <w:tcPr>
            <w:tcW w:w="2440" w:type="dxa"/>
            <w:vAlign w:val="bottom"/>
            <w:shd w:val="clear" w:color="auto" w:fill="CCEEFF"/>
          </w:tcPr>
          <w:p>
            <w:pPr>
              <w:ind w:left="60"/>
              <w:spacing w:after="0"/>
              <w:rPr>
                <w:sz w:val="20"/>
                <w:szCs w:val="20"/>
                <w:color w:val="auto"/>
              </w:rPr>
            </w:pPr>
            <w:r>
              <w:rPr>
                <w:rFonts w:ascii="Arial" w:cs="Arial" w:eastAsia="Arial" w:hAnsi="Arial"/>
                <w:sz w:val="14"/>
                <w:szCs w:val="14"/>
                <w:color w:val="auto"/>
              </w:rPr>
              <w:t>Tranche I: LIBOR+12% PIK, 11.00%</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5/16/2017</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$ 6,296,833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6,191,982</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  4,726,334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201"/>
        </w:trPr>
        <w:tc>
          <w:tcPr>
            <w:tcW w:w="12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2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floor, 5% ETP, due 5/15/2021</w:t>
            </w:r>
          </w:p>
        </w:tc>
        <w:tc>
          <w:tcPr>
            <w:tcW w:w="8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r>
      <w:tr>
        <w:trPr>
          <w:trHeight w:val="170"/>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40" w:type="dxa"/>
            <w:vAlign w:val="bottom"/>
          </w:tcPr>
          <w:p>
            <w:pPr>
              <w:ind w:left="60"/>
              <w:spacing w:after="0"/>
              <w:rPr>
                <w:sz w:val="20"/>
                <w:szCs w:val="20"/>
                <w:color w:val="auto"/>
              </w:rPr>
            </w:pPr>
            <w:r>
              <w:rPr>
                <w:rFonts w:ascii="Arial" w:cs="Arial" w:eastAsia="Arial" w:hAnsi="Arial"/>
                <w:sz w:val="14"/>
                <w:szCs w:val="14"/>
                <w:color w:val="auto"/>
              </w:rPr>
              <w:t>Tranche II: LIBOR+12% PIK,</w:t>
            </w:r>
          </w:p>
        </w:tc>
        <w:tc>
          <w:tcPr>
            <w:tcW w:w="880" w:type="dxa"/>
            <w:vAlign w:val="bottom"/>
          </w:tcPr>
          <w:p>
            <w:pPr>
              <w:jc w:val="center"/>
              <w:spacing w:after="0"/>
              <w:rPr>
                <w:sz w:val="20"/>
                <w:szCs w:val="20"/>
                <w:color w:val="auto"/>
              </w:rPr>
            </w:pPr>
            <w:r>
              <w:rPr>
                <w:rFonts w:ascii="Arial" w:cs="Arial" w:eastAsia="Arial" w:hAnsi="Arial"/>
                <w:sz w:val="14"/>
                <w:szCs w:val="14"/>
                <w:color w:val="auto"/>
                <w:w w:val="95"/>
              </w:rPr>
              <w:t>8/3/2017</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2,098,944</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2,067,505</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1,575,445</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0.42</w:t>
            </w:r>
          </w:p>
        </w:tc>
      </w:tr>
      <w:tr>
        <w:trPr>
          <w:trHeight w:val="182"/>
        </w:trPr>
        <w:tc>
          <w:tcPr>
            <w:tcW w:w="1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40" w:type="dxa"/>
            <w:vAlign w:val="bottom"/>
          </w:tcPr>
          <w:p>
            <w:pPr>
              <w:ind w:left="60"/>
              <w:spacing w:after="0"/>
              <w:rPr>
                <w:sz w:val="20"/>
                <w:szCs w:val="20"/>
                <w:color w:val="auto"/>
              </w:rPr>
            </w:pPr>
            <w:r>
              <w:rPr>
                <w:rFonts w:ascii="Arial" w:cs="Arial" w:eastAsia="Arial" w:hAnsi="Arial"/>
                <w:sz w:val="14"/>
                <w:szCs w:val="14"/>
                <w:color w:val="auto"/>
              </w:rPr>
              <w:t>11.00% floor, 5% ETP, due 5/15/2021</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9"/>
        </w:trPr>
        <w:tc>
          <w:tcPr>
            <w:tcW w:w="1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70"/>
        </w:trPr>
        <w:tc>
          <w:tcPr>
            <w:tcW w:w="1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40" w:type="dxa"/>
            <w:vAlign w:val="bottom"/>
            <w:shd w:val="clear" w:color="auto" w:fill="CCEEFF"/>
          </w:tcPr>
          <w:p>
            <w:pPr>
              <w:ind w:left="60"/>
              <w:spacing w:after="0"/>
              <w:rPr>
                <w:sz w:val="20"/>
                <w:szCs w:val="20"/>
                <w:color w:val="auto"/>
              </w:rPr>
            </w:pPr>
            <w:r>
              <w:rPr>
                <w:rFonts w:ascii="Arial" w:cs="Arial" w:eastAsia="Arial" w:hAnsi="Arial"/>
                <w:sz w:val="14"/>
                <w:szCs w:val="14"/>
                <w:color w:val="auto"/>
              </w:rPr>
              <w:t>Tranche III: LIBOR+12% PIK,</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7/6/2018</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524,206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518,864</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393,914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0.10</w:t>
            </w:r>
          </w:p>
        </w:tc>
      </w:tr>
      <w:tr>
        <w:trPr>
          <w:trHeight w:val="201"/>
        </w:trPr>
        <w:tc>
          <w:tcPr>
            <w:tcW w:w="12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2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11.00% floor, 5% ETP, due 5/15/2021</w:t>
            </w:r>
          </w:p>
        </w:tc>
        <w:tc>
          <w:tcPr>
            <w:tcW w:w="8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r>
      <w:tr>
        <w:trPr>
          <w:trHeight w:val="170"/>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40" w:type="dxa"/>
            <w:vAlign w:val="bottom"/>
          </w:tcPr>
          <w:p>
            <w:pPr>
              <w:ind w:left="60"/>
              <w:spacing w:after="0"/>
              <w:rPr>
                <w:sz w:val="20"/>
                <w:szCs w:val="20"/>
                <w:color w:val="auto"/>
              </w:rPr>
            </w:pPr>
            <w:r>
              <w:rPr>
                <w:rFonts w:ascii="Arial" w:cs="Arial" w:eastAsia="Arial" w:hAnsi="Arial"/>
                <w:sz w:val="14"/>
                <w:szCs w:val="14"/>
                <w:color w:val="auto"/>
              </w:rPr>
              <w:t>Tranche IV: LIBOR+12% PIK,</w:t>
            </w:r>
          </w:p>
        </w:tc>
        <w:tc>
          <w:tcPr>
            <w:tcW w:w="880" w:type="dxa"/>
            <w:vAlign w:val="bottom"/>
          </w:tcPr>
          <w:p>
            <w:pPr>
              <w:jc w:val="center"/>
              <w:spacing w:after="0"/>
              <w:rPr>
                <w:sz w:val="20"/>
                <w:szCs w:val="20"/>
                <w:color w:val="auto"/>
              </w:rPr>
            </w:pPr>
            <w:r>
              <w:rPr>
                <w:rFonts w:ascii="Arial" w:cs="Arial" w:eastAsia="Arial" w:hAnsi="Arial"/>
                <w:sz w:val="14"/>
                <w:szCs w:val="14"/>
                <w:color w:val="auto"/>
                <w:w w:val="95"/>
              </w:rPr>
              <w:t>9/5/2018</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523,474</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516,902</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392,469</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0.10</w:t>
            </w:r>
          </w:p>
        </w:tc>
      </w:tr>
      <w:tr>
        <w:trPr>
          <w:trHeight w:val="182"/>
        </w:trPr>
        <w:tc>
          <w:tcPr>
            <w:tcW w:w="1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40" w:type="dxa"/>
            <w:vAlign w:val="bottom"/>
          </w:tcPr>
          <w:p>
            <w:pPr>
              <w:ind w:left="60"/>
              <w:spacing w:after="0"/>
              <w:rPr>
                <w:sz w:val="20"/>
                <w:szCs w:val="20"/>
                <w:color w:val="auto"/>
              </w:rPr>
            </w:pPr>
            <w:r>
              <w:rPr>
                <w:rFonts w:ascii="Arial" w:cs="Arial" w:eastAsia="Arial" w:hAnsi="Arial"/>
                <w:sz w:val="14"/>
                <w:szCs w:val="14"/>
                <w:color w:val="auto"/>
              </w:rPr>
              <w:t>11.00% floor, 5% ETP, due 5/15/2021</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9"/>
        </w:trPr>
        <w:tc>
          <w:tcPr>
            <w:tcW w:w="1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70"/>
        </w:trPr>
        <w:tc>
          <w:tcPr>
            <w:tcW w:w="1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40" w:type="dxa"/>
            <w:vAlign w:val="bottom"/>
            <w:shd w:val="clear" w:color="auto" w:fill="CCEEFF"/>
          </w:tcPr>
          <w:p>
            <w:pPr>
              <w:ind w:left="60"/>
              <w:spacing w:after="0"/>
              <w:rPr>
                <w:sz w:val="20"/>
                <w:szCs w:val="20"/>
                <w:color w:val="auto"/>
              </w:rPr>
            </w:pPr>
            <w:r>
              <w:rPr>
                <w:rFonts w:ascii="Arial" w:cs="Arial" w:eastAsia="Arial" w:hAnsi="Arial"/>
                <w:sz w:val="14"/>
                <w:szCs w:val="14"/>
                <w:color w:val="auto"/>
              </w:rPr>
              <w:t>Tranche V: LIBOR+12% PIK,</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1/28/2019</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1,042,472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1.020,642</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782,469</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0.21</w:t>
            </w:r>
          </w:p>
        </w:tc>
      </w:tr>
      <w:tr>
        <w:trPr>
          <w:trHeight w:val="201"/>
        </w:trPr>
        <w:tc>
          <w:tcPr>
            <w:tcW w:w="12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2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11.00% floor, 5% ETP, due 5/15/2021</w:t>
            </w:r>
          </w:p>
        </w:tc>
        <w:tc>
          <w:tcPr>
            <w:tcW w:w="8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r>
      <w:tr>
        <w:trPr>
          <w:trHeight w:val="170"/>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40" w:type="dxa"/>
            <w:vAlign w:val="bottom"/>
          </w:tcPr>
          <w:p>
            <w:pPr>
              <w:ind w:left="60"/>
              <w:spacing w:after="0"/>
              <w:rPr>
                <w:sz w:val="20"/>
                <w:szCs w:val="20"/>
                <w:color w:val="auto"/>
              </w:rPr>
            </w:pPr>
            <w:r>
              <w:rPr>
                <w:rFonts w:ascii="Arial" w:cs="Arial" w:eastAsia="Arial" w:hAnsi="Arial"/>
                <w:sz w:val="14"/>
                <w:szCs w:val="14"/>
                <w:color w:val="auto"/>
              </w:rPr>
              <w:t>Tranche VI: LIBOR+12% PIK,</w:t>
            </w:r>
          </w:p>
        </w:tc>
        <w:tc>
          <w:tcPr>
            <w:tcW w:w="880" w:type="dxa"/>
            <w:vAlign w:val="bottom"/>
          </w:tcPr>
          <w:p>
            <w:pPr>
              <w:jc w:val="center"/>
              <w:spacing w:after="0"/>
              <w:rPr>
                <w:sz w:val="20"/>
                <w:szCs w:val="20"/>
                <w:color w:val="auto"/>
              </w:rPr>
            </w:pPr>
            <w:r>
              <w:rPr>
                <w:rFonts w:ascii="Arial" w:cs="Arial" w:eastAsia="Arial" w:hAnsi="Arial"/>
                <w:sz w:val="14"/>
                <w:szCs w:val="14"/>
                <w:color w:val="auto"/>
                <w:w w:val="91"/>
              </w:rPr>
              <w:t>12/18/2019</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1,000,000</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1,000,000</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0.27</w:t>
            </w:r>
          </w:p>
        </w:tc>
      </w:tr>
      <w:tr>
        <w:trPr>
          <w:trHeight w:val="182"/>
        </w:trPr>
        <w:tc>
          <w:tcPr>
            <w:tcW w:w="1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40" w:type="dxa"/>
            <w:vAlign w:val="bottom"/>
          </w:tcPr>
          <w:p>
            <w:pPr>
              <w:ind w:left="60"/>
              <w:spacing w:after="0"/>
              <w:rPr>
                <w:sz w:val="20"/>
                <w:szCs w:val="20"/>
                <w:color w:val="auto"/>
              </w:rPr>
            </w:pPr>
            <w:r>
              <w:rPr>
                <w:rFonts w:ascii="Arial" w:cs="Arial" w:eastAsia="Arial" w:hAnsi="Arial"/>
                <w:sz w:val="14"/>
                <w:szCs w:val="14"/>
                <w:color w:val="auto"/>
              </w:rPr>
              <w:t>11.00% floor, due 1/31/2020</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9"/>
        </w:trPr>
        <w:tc>
          <w:tcPr>
            <w:tcW w:w="1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70"/>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3DNA Corp.(dba</w:t>
            </w:r>
          </w:p>
        </w:tc>
        <w:tc>
          <w:tcPr>
            <w:tcW w:w="15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Application Software</w:t>
            </w:r>
          </w:p>
        </w:tc>
        <w:tc>
          <w:tcPr>
            <w:tcW w:w="2440" w:type="dxa"/>
            <w:vAlign w:val="bottom"/>
            <w:shd w:val="clear" w:color="auto" w:fill="CCEEFF"/>
          </w:tcPr>
          <w:p>
            <w:pPr>
              <w:ind w:left="60"/>
              <w:spacing w:after="0"/>
              <w:rPr>
                <w:sz w:val="20"/>
                <w:szCs w:val="20"/>
                <w:color w:val="auto"/>
              </w:rPr>
            </w:pPr>
            <w:r>
              <w:rPr>
                <w:rFonts w:ascii="Arial" w:cs="Arial" w:eastAsia="Arial" w:hAnsi="Arial"/>
                <w:sz w:val="14"/>
                <w:szCs w:val="14"/>
                <w:color w:val="auto"/>
              </w:rPr>
              <w:t>Tranche I: LIBOR+9.00%,</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12/28/2019</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7,000,000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7,016,888</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6,942,703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1.84</w:t>
            </w:r>
          </w:p>
        </w:tc>
      </w:tr>
      <w:tr>
        <w:trPr>
          <w:trHeight w:val="201"/>
        </w:trPr>
        <w:tc>
          <w:tcPr>
            <w:tcW w:w="1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NationBuilder)</w:t>
            </w:r>
          </w:p>
        </w:tc>
        <w:tc>
          <w:tcPr>
            <w:tcW w:w="1520" w:type="dxa"/>
            <w:vAlign w:val="bottom"/>
            <w:tcBorders>
              <w:bottom w:val="single" w:sz="8" w:color="CCEEFF"/>
            </w:tcBorders>
            <w:shd w:val="clear" w:color="auto" w:fill="CCEEFF"/>
          </w:tcPr>
          <w:p>
            <w:pPr>
              <w:spacing w:after="0"/>
              <w:rPr>
                <w:sz w:val="17"/>
                <w:szCs w:val="17"/>
                <w:color w:val="auto"/>
              </w:rPr>
            </w:pPr>
          </w:p>
        </w:tc>
        <w:tc>
          <w:tcPr>
            <w:tcW w:w="2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11.50% floor, 5% ETP, due 4/28/2022</w:t>
            </w:r>
          </w:p>
        </w:tc>
        <w:tc>
          <w:tcPr>
            <w:tcW w:w="8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r>
      <w:tr>
        <w:trPr>
          <w:trHeight w:val="170"/>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40" w:type="dxa"/>
            <w:vAlign w:val="bottom"/>
          </w:tcPr>
          <w:p>
            <w:pPr>
              <w:ind w:left="60"/>
              <w:spacing w:after="0"/>
              <w:rPr>
                <w:sz w:val="20"/>
                <w:szCs w:val="20"/>
                <w:color w:val="auto"/>
              </w:rPr>
            </w:pPr>
            <w:r>
              <w:rPr>
                <w:rFonts w:ascii="Arial" w:cs="Arial" w:eastAsia="Arial" w:hAnsi="Arial"/>
                <w:sz w:val="14"/>
                <w:szCs w:val="14"/>
                <w:color w:val="auto"/>
              </w:rPr>
              <w:t>Tranche II: LIBOR+9.00%,</w:t>
            </w: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6/12/2019</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500,000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502,374</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497,063</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0.13</w:t>
            </w:r>
          </w:p>
        </w:tc>
      </w:tr>
      <w:tr>
        <w:trPr>
          <w:trHeight w:val="182"/>
        </w:trPr>
        <w:tc>
          <w:tcPr>
            <w:tcW w:w="1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40" w:type="dxa"/>
            <w:vAlign w:val="bottom"/>
          </w:tcPr>
          <w:p>
            <w:pPr>
              <w:ind w:left="60"/>
              <w:spacing w:after="0"/>
              <w:rPr>
                <w:sz w:val="20"/>
                <w:szCs w:val="20"/>
                <w:color w:val="auto"/>
              </w:rPr>
            </w:pPr>
            <w:r>
              <w:rPr>
                <w:rFonts w:ascii="Arial" w:cs="Arial" w:eastAsia="Arial" w:hAnsi="Arial"/>
                <w:sz w:val="14"/>
                <w:szCs w:val="14"/>
                <w:color w:val="auto"/>
              </w:rPr>
              <w:t>11.50% floor, 5% ETP, due 4/28/2022</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9"/>
        </w:trPr>
        <w:tc>
          <w:tcPr>
            <w:tcW w:w="1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70"/>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Ouster, Inc.</w:t>
            </w:r>
          </w:p>
        </w:tc>
        <w:tc>
          <w:tcPr>
            <w:tcW w:w="15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Technology Hardware,</w:t>
            </w:r>
          </w:p>
        </w:tc>
        <w:tc>
          <w:tcPr>
            <w:tcW w:w="24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LIBOR+8.50%, 10.75% floor,</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11/27/2018</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10,000,000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10,007,056</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10,007,056</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2.66</w:t>
            </w:r>
          </w:p>
        </w:tc>
      </w:tr>
      <w:tr>
        <w:trPr>
          <w:trHeight w:val="201"/>
        </w:trPr>
        <w:tc>
          <w:tcPr>
            <w:tcW w:w="12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Storage &amp; Peripherals</w:t>
            </w:r>
          </w:p>
        </w:tc>
        <w:tc>
          <w:tcPr>
            <w:tcW w:w="2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3.50% ETP, due 5/15/2021</w:t>
            </w:r>
          </w:p>
        </w:tc>
        <w:tc>
          <w:tcPr>
            <w:tcW w:w="8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r>
      <w:tr>
        <w:trPr>
          <w:trHeight w:val="170"/>
        </w:trPr>
        <w:tc>
          <w:tcPr>
            <w:tcW w:w="1260" w:type="dxa"/>
            <w:vAlign w:val="bottom"/>
          </w:tcPr>
          <w:p>
            <w:pPr>
              <w:ind w:left="140"/>
              <w:spacing w:after="0"/>
              <w:rPr>
                <w:sz w:val="20"/>
                <w:szCs w:val="20"/>
                <w:color w:val="auto"/>
              </w:rPr>
            </w:pPr>
            <w:r>
              <w:rPr>
                <w:rFonts w:ascii="Arial" w:cs="Arial" w:eastAsia="Arial" w:hAnsi="Arial"/>
                <w:sz w:val="14"/>
                <w:szCs w:val="14"/>
                <w:color w:val="auto"/>
              </w:rPr>
              <w:t>Pivot3, Inc.</w:t>
            </w:r>
          </w:p>
        </w:tc>
        <w:tc>
          <w:tcPr>
            <w:tcW w:w="1520" w:type="dxa"/>
            <w:vAlign w:val="bottom"/>
          </w:tcPr>
          <w:p>
            <w:pPr>
              <w:ind w:left="60"/>
              <w:spacing w:after="0"/>
              <w:rPr>
                <w:sz w:val="20"/>
                <w:szCs w:val="20"/>
                <w:color w:val="auto"/>
              </w:rPr>
            </w:pPr>
            <w:r>
              <w:rPr>
                <w:rFonts w:ascii="Arial" w:cs="Arial" w:eastAsia="Arial" w:hAnsi="Arial"/>
                <w:sz w:val="14"/>
                <w:szCs w:val="14"/>
                <w:color w:val="auto"/>
              </w:rPr>
              <w:t>Data Processing &amp;</w:t>
            </w:r>
          </w:p>
        </w:tc>
        <w:tc>
          <w:tcPr>
            <w:tcW w:w="2440" w:type="dxa"/>
            <w:vAlign w:val="bottom"/>
          </w:tcPr>
          <w:p>
            <w:pPr>
              <w:ind w:left="60"/>
              <w:spacing w:after="0"/>
              <w:rPr>
                <w:sz w:val="20"/>
                <w:szCs w:val="20"/>
                <w:color w:val="auto"/>
              </w:rPr>
            </w:pPr>
            <w:r>
              <w:rPr>
                <w:rFonts w:ascii="Arial" w:cs="Arial" w:eastAsia="Arial" w:hAnsi="Arial"/>
                <w:sz w:val="14"/>
                <w:szCs w:val="14"/>
                <w:color w:val="auto"/>
                <w:w w:val="98"/>
              </w:rPr>
              <w:t>LIBOR+8.50%, 11.00% floor, 4% ETP,</w:t>
            </w: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5/13/2019</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20,000,000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19,863,175</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19,728,122</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5.24</w:t>
            </w:r>
          </w:p>
        </w:tc>
      </w:tr>
      <w:tr>
        <w:trPr>
          <w:trHeight w:val="182"/>
        </w:trPr>
        <w:tc>
          <w:tcPr>
            <w:tcW w:w="126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4"/>
                <w:szCs w:val="14"/>
                <w:color w:val="auto"/>
              </w:rPr>
              <w:t>Outsourced Services</w:t>
            </w:r>
          </w:p>
        </w:tc>
        <w:tc>
          <w:tcPr>
            <w:tcW w:w="2440" w:type="dxa"/>
            <w:vAlign w:val="bottom"/>
          </w:tcPr>
          <w:p>
            <w:pPr>
              <w:ind w:left="60"/>
              <w:spacing w:after="0"/>
              <w:rPr>
                <w:sz w:val="20"/>
                <w:szCs w:val="20"/>
                <w:color w:val="auto"/>
              </w:rPr>
            </w:pPr>
            <w:r>
              <w:rPr>
                <w:rFonts w:ascii="Arial" w:cs="Arial" w:eastAsia="Arial" w:hAnsi="Arial"/>
                <w:sz w:val="14"/>
                <w:szCs w:val="14"/>
                <w:color w:val="auto"/>
              </w:rPr>
              <w:t>due 11/15/2022</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9"/>
        </w:trPr>
        <w:tc>
          <w:tcPr>
            <w:tcW w:w="1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70"/>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RealWear, Inc.</w:t>
            </w:r>
          </w:p>
        </w:tc>
        <w:tc>
          <w:tcPr>
            <w:tcW w:w="15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Technology Hardware,</w:t>
            </w:r>
          </w:p>
        </w:tc>
        <w:tc>
          <w:tcPr>
            <w:tcW w:w="24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LIBOR+8%, 10.35% floor, 5% ETP,</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6/28/2018</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25,000,000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24,653,512</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24,653,512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6.55</w:t>
            </w: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Storage &amp; Peripherals</w:t>
            </w:r>
          </w:p>
        </w:tc>
        <w:tc>
          <w:tcPr>
            <w:tcW w:w="2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due 6/28/2023</w:t>
            </w:r>
          </w:p>
        </w:tc>
        <w:tc>
          <w:tcPr>
            <w:tcW w:w="8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170"/>
        </w:trPr>
        <w:tc>
          <w:tcPr>
            <w:tcW w:w="1260" w:type="dxa"/>
            <w:vAlign w:val="bottom"/>
          </w:tcPr>
          <w:p>
            <w:pPr>
              <w:ind w:left="140"/>
              <w:spacing w:after="0"/>
              <w:rPr>
                <w:sz w:val="20"/>
                <w:szCs w:val="20"/>
                <w:color w:val="auto"/>
              </w:rPr>
            </w:pPr>
            <w:r>
              <w:rPr>
                <w:rFonts w:ascii="Arial" w:cs="Arial" w:eastAsia="Arial" w:hAnsi="Arial"/>
                <w:sz w:val="14"/>
                <w:szCs w:val="14"/>
                <w:color w:val="auto"/>
                <w:w w:val="99"/>
              </w:rPr>
              <w:t>Scale Computing,</w:t>
            </w:r>
          </w:p>
        </w:tc>
        <w:tc>
          <w:tcPr>
            <w:tcW w:w="1520" w:type="dxa"/>
            <w:vAlign w:val="bottom"/>
          </w:tcPr>
          <w:p>
            <w:pPr>
              <w:ind w:left="60"/>
              <w:spacing w:after="0"/>
              <w:rPr>
                <w:sz w:val="20"/>
                <w:szCs w:val="20"/>
                <w:color w:val="auto"/>
              </w:rPr>
            </w:pPr>
            <w:r>
              <w:rPr>
                <w:rFonts w:ascii="Arial" w:cs="Arial" w:eastAsia="Arial" w:hAnsi="Arial"/>
                <w:sz w:val="14"/>
                <w:szCs w:val="14"/>
                <w:color w:val="auto"/>
              </w:rPr>
              <w:t>System Software</w:t>
            </w:r>
          </w:p>
        </w:tc>
        <w:tc>
          <w:tcPr>
            <w:tcW w:w="2440" w:type="dxa"/>
            <w:vAlign w:val="bottom"/>
          </w:tcPr>
          <w:p>
            <w:pPr>
              <w:ind w:left="60"/>
              <w:spacing w:after="0"/>
              <w:rPr>
                <w:sz w:val="20"/>
                <w:szCs w:val="20"/>
                <w:color w:val="auto"/>
              </w:rPr>
            </w:pPr>
            <w:r>
              <w:rPr>
                <w:rFonts w:ascii="Arial" w:cs="Arial" w:eastAsia="Arial" w:hAnsi="Arial"/>
                <w:sz w:val="14"/>
                <w:szCs w:val="14"/>
                <w:color w:val="auto"/>
              </w:rPr>
              <w:t>LIBOR+9.25%, 11.75% floor, 4.5%</w:t>
            </w: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3/29/2019</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15,000,000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14,798,210</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14,418,842</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3.83</w:t>
            </w:r>
          </w:p>
        </w:tc>
      </w:tr>
      <w:tr>
        <w:trPr>
          <w:trHeight w:val="182"/>
        </w:trPr>
        <w:tc>
          <w:tcPr>
            <w:tcW w:w="1260" w:type="dxa"/>
            <w:vAlign w:val="bottom"/>
          </w:tcPr>
          <w:p>
            <w:pPr>
              <w:ind w:left="280"/>
              <w:spacing w:after="0"/>
              <w:rPr>
                <w:sz w:val="20"/>
                <w:szCs w:val="20"/>
                <w:color w:val="auto"/>
              </w:rPr>
            </w:pPr>
            <w:r>
              <w:rPr>
                <w:rFonts w:ascii="Arial" w:cs="Arial" w:eastAsia="Arial" w:hAnsi="Arial"/>
                <w:sz w:val="14"/>
                <w:szCs w:val="14"/>
                <w:color w:val="auto"/>
              </w:rPr>
              <w:t>Inc.</w:t>
            </w:r>
          </w:p>
        </w:tc>
        <w:tc>
          <w:tcPr>
            <w:tcW w:w="1520" w:type="dxa"/>
            <w:vAlign w:val="bottom"/>
          </w:tcPr>
          <w:p>
            <w:pPr>
              <w:spacing w:after="0"/>
              <w:rPr>
                <w:sz w:val="15"/>
                <w:szCs w:val="15"/>
                <w:color w:val="auto"/>
              </w:rPr>
            </w:pPr>
          </w:p>
        </w:tc>
        <w:tc>
          <w:tcPr>
            <w:tcW w:w="2440" w:type="dxa"/>
            <w:vAlign w:val="bottom"/>
          </w:tcPr>
          <w:p>
            <w:pPr>
              <w:ind w:left="60"/>
              <w:spacing w:after="0"/>
              <w:rPr>
                <w:sz w:val="20"/>
                <w:szCs w:val="20"/>
                <w:color w:val="auto"/>
              </w:rPr>
            </w:pPr>
            <w:r>
              <w:rPr>
                <w:rFonts w:ascii="Arial" w:cs="Arial" w:eastAsia="Arial" w:hAnsi="Arial"/>
                <w:sz w:val="14"/>
                <w:szCs w:val="14"/>
                <w:color w:val="auto"/>
              </w:rPr>
              <w:t>ETP, due 9/15/2022</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52"/>
        </w:trPr>
        <w:tc>
          <w:tcPr>
            <w:tcW w:w="12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70"/>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ShareThis, Inc.</w:t>
            </w:r>
          </w:p>
        </w:tc>
        <w:tc>
          <w:tcPr>
            <w:tcW w:w="152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Data Processing &amp;</w:t>
            </w:r>
          </w:p>
        </w:tc>
        <w:tc>
          <w:tcPr>
            <w:tcW w:w="2440" w:type="dxa"/>
            <w:vAlign w:val="bottom"/>
            <w:shd w:val="clear" w:color="auto" w:fill="CCEEFF"/>
          </w:tcPr>
          <w:p>
            <w:pPr>
              <w:ind w:left="60"/>
              <w:spacing w:after="0"/>
              <w:rPr>
                <w:sz w:val="20"/>
                <w:szCs w:val="20"/>
                <w:color w:val="auto"/>
              </w:rPr>
            </w:pPr>
            <w:r>
              <w:rPr>
                <w:rFonts w:ascii="Arial" w:cs="Arial" w:eastAsia="Arial" w:hAnsi="Arial"/>
                <w:sz w:val="14"/>
                <w:szCs w:val="14"/>
                <w:color w:val="auto"/>
              </w:rPr>
              <w:t>Tranche I: LIBOR+9.25%, 11.60%</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12/3/2018</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19,250,000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18,123,758</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18,123,758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4.82</w:t>
            </w: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Outsourced Services</w:t>
            </w:r>
          </w:p>
        </w:tc>
        <w:tc>
          <w:tcPr>
            <w:tcW w:w="2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floor, 5% ETP, due 6/15/2022</w:t>
            </w:r>
          </w:p>
        </w:tc>
        <w:tc>
          <w:tcPr>
            <w:tcW w:w="8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170"/>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40" w:type="dxa"/>
            <w:vAlign w:val="bottom"/>
          </w:tcPr>
          <w:p>
            <w:pPr>
              <w:ind w:left="60"/>
              <w:spacing w:after="0"/>
              <w:rPr>
                <w:sz w:val="20"/>
                <w:szCs w:val="20"/>
                <w:color w:val="auto"/>
              </w:rPr>
            </w:pPr>
            <w:r>
              <w:rPr>
                <w:rFonts w:ascii="Arial" w:cs="Arial" w:eastAsia="Arial" w:hAnsi="Arial"/>
                <w:sz w:val="14"/>
                <w:szCs w:val="14"/>
                <w:color w:val="auto"/>
              </w:rPr>
              <w:t>Tranche II: LIBOR+9.25%, 11.60%</w:t>
            </w: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1/17/2019</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750,000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699,312</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699,312</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0.19</w:t>
            </w:r>
          </w:p>
        </w:tc>
      </w:tr>
      <w:tr>
        <w:trPr>
          <w:trHeight w:val="182"/>
        </w:trPr>
        <w:tc>
          <w:tcPr>
            <w:tcW w:w="1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40" w:type="dxa"/>
            <w:vAlign w:val="bottom"/>
          </w:tcPr>
          <w:p>
            <w:pPr>
              <w:ind w:left="60"/>
              <w:spacing w:after="0"/>
              <w:rPr>
                <w:sz w:val="20"/>
                <w:szCs w:val="20"/>
                <w:color w:val="auto"/>
              </w:rPr>
            </w:pPr>
            <w:r>
              <w:rPr>
                <w:rFonts w:ascii="Arial" w:cs="Arial" w:eastAsia="Arial" w:hAnsi="Arial"/>
                <w:sz w:val="14"/>
                <w:szCs w:val="14"/>
                <w:color w:val="auto"/>
              </w:rPr>
              <w:t>floor, 5% ETP, due 6/15/2022</w:t>
            </w: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53"/>
        </w:trPr>
        <w:tc>
          <w:tcPr>
            <w:tcW w:w="12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70"/>
        </w:trPr>
        <w:tc>
          <w:tcPr>
            <w:tcW w:w="1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40" w:type="dxa"/>
            <w:vAlign w:val="bottom"/>
            <w:shd w:val="clear" w:color="auto" w:fill="CCEEFF"/>
          </w:tcPr>
          <w:p>
            <w:pPr>
              <w:ind w:left="60"/>
              <w:spacing w:after="0"/>
              <w:rPr>
                <w:sz w:val="20"/>
                <w:szCs w:val="20"/>
                <w:color w:val="auto"/>
              </w:rPr>
            </w:pPr>
            <w:r>
              <w:rPr>
                <w:rFonts w:ascii="Arial" w:cs="Arial" w:eastAsia="Arial" w:hAnsi="Arial"/>
                <w:sz w:val="14"/>
                <w:szCs w:val="14"/>
                <w:color w:val="auto"/>
              </w:rPr>
              <w:t>Tranche III: LIBOR+9.25%, 11.60%</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7/24/2019</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1,000,000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917,457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917,457</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0.25</w:t>
            </w: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2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floor, 5% ETP, due 6/15/2022</w:t>
            </w:r>
          </w:p>
        </w:tc>
        <w:tc>
          <w:tcPr>
            <w:tcW w:w="8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12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8"/>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Total Senior Secured Term Loans</w:t>
            </w:r>
          </w:p>
        </w:tc>
        <w:tc>
          <w:tcPr>
            <w:tcW w:w="2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358,385,089</w:t>
            </w:r>
          </w:p>
        </w:tc>
        <w:tc>
          <w:tcPr>
            <w:tcW w:w="2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349,570,424</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92.89</w:t>
            </w:r>
          </w:p>
        </w:tc>
      </w:tr>
      <w:tr>
        <w:trPr>
          <w:trHeight w:val="66"/>
        </w:trPr>
        <w:tc>
          <w:tcPr>
            <w:tcW w:w="1260" w:type="dxa"/>
            <w:vAlign w:val="bottom"/>
            <w:tcBorders>
              <w:bottom w:val="single" w:sz="8" w:color="CCEEFF"/>
            </w:tcBorders>
          </w:tcPr>
          <w:p>
            <w:pPr>
              <w:spacing w:after="0"/>
              <w:rPr>
                <w:sz w:val="5"/>
                <w:szCs w:val="5"/>
                <w:color w:val="auto"/>
              </w:rPr>
            </w:pPr>
          </w:p>
        </w:tc>
        <w:tc>
          <w:tcPr>
            <w:tcW w:w="1520" w:type="dxa"/>
            <w:vAlign w:val="bottom"/>
            <w:tcBorders>
              <w:bottom w:val="single" w:sz="8" w:color="CCEEFF"/>
            </w:tcBorders>
          </w:tcPr>
          <w:p>
            <w:pPr>
              <w:spacing w:after="0"/>
              <w:rPr>
                <w:sz w:val="5"/>
                <w:szCs w:val="5"/>
                <w:color w:val="auto"/>
              </w:rPr>
            </w:pPr>
          </w:p>
        </w:tc>
        <w:tc>
          <w:tcPr>
            <w:tcW w:w="244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r>
      <w:tr>
        <w:trPr>
          <w:trHeight w:val="372"/>
        </w:trPr>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Preferred Stock</w:t>
            </w:r>
            <w:r>
              <w:rPr>
                <w:rFonts w:ascii="Arial" w:cs="Arial" w:eastAsia="Arial" w:hAnsi="Arial"/>
                <w:sz w:val="21"/>
                <w:szCs w:val="21"/>
                <w:b w:val="1"/>
                <w:bCs w:val="1"/>
                <w:color w:val="auto"/>
                <w:vertAlign w:val="superscript"/>
              </w:rPr>
              <w:t>(8)</w:t>
            </w:r>
          </w:p>
        </w:tc>
        <w:tc>
          <w:tcPr>
            <w:tcW w:w="152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04"/>
        </w:trPr>
        <w:tc>
          <w:tcPr>
            <w:tcW w:w="1260" w:type="dxa"/>
            <w:vAlign w:val="bottom"/>
          </w:tcPr>
          <w:p>
            <w:pPr>
              <w:ind w:left="140"/>
              <w:spacing w:after="0"/>
              <w:rPr>
                <w:sz w:val="20"/>
                <w:szCs w:val="20"/>
                <w:color w:val="auto"/>
              </w:rPr>
            </w:pPr>
            <w:r>
              <w:rPr>
                <w:rFonts w:ascii="Arial" w:cs="Arial" w:eastAsia="Arial" w:hAnsi="Arial"/>
                <w:sz w:val="14"/>
                <w:szCs w:val="14"/>
                <w:color w:val="auto"/>
                <w:w w:val="97"/>
              </w:rPr>
              <w:t>Aria Systems, Inc.</w:t>
            </w:r>
          </w:p>
        </w:tc>
        <w:tc>
          <w:tcPr>
            <w:tcW w:w="1520" w:type="dxa"/>
            <w:vAlign w:val="bottom"/>
          </w:tcPr>
          <w:p>
            <w:pPr>
              <w:ind w:left="60"/>
              <w:spacing w:after="0"/>
              <w:rPr>
                <w:sz w:val="20"/>
                <w:szCs w:val="20"/>
                <w:color w:val="auto"/>
              </w:rPr>
            </w:pPr>
            <w:r>
              <w:rPr>
                <w:rFonts w:ascii="Arial" w:cs="Arial" w:eastAsia="Arial" w:hAnsi="Arial"/>
                <w:sz w:val="14"/>
                <w:szCs w:val="14"/>
                <w:color w:val="auto"/>
              </w:rPr>
              <w:t>Application Software</w:t>
            </w:r>
          </w:p>
        </w:tc>
        <w:tc>
          <w:tcPr>
            <w:tcW w:w="2440" w:type="dxa"/>
            <w:vAlign w:val="bottom"/>
          </w:tcPr>
          <w:p>
            <w:pPr>
              <w:ind w:left="60"/>
              <w:spacing w:after="0"/>
              <w:rPr>
                <w:sz w:val="20"/>
                <w:szCs w:val="20"/>
                <w:color w:val="auto"/>
              </w:rPr>
            </w:pPr>
            <w:r>
              <w:rPr>
                <w:rFonts w:ascii="Arial" w:cs="Arial" w:eastAsia="Arial" w:hAnsi="Arial"/>
                <w:sz w:val="14"/>
                <w:szCs w:val="14"/>
                <w:color w:val="auto"/>
              </w:rPr>
              <w:t>Series G Preferred Stock</w:t>
            </w: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7/10/2018</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289,419</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250,000</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437,515</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0.12</w:t>
            </w:r>
          </w:p>
        </w:tc>
      </w:tr>
      <w:tr>
        <w:trPr>
          <w:trHeight w:val="53"/>
        </w:trPr>
        <w:tc>
          <w:tcPr>
            <w:tcW w:w="12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70"/>
        </w:trPr>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Warrants</w:t>
            </w:r>
            <w:r>
              <w:rPr>
                <w:rFonts w:ascii="Arial" w:cs="Arial" w:eastAsia="Arial" w:hAnsi="Arial"/>
                <w:sz w:val="21"/>
                <w:szCs w:val="21"/>
                <w:b w:val="1"/>
                <w:bCs w:val="1"/>
                <w:color w:val="auto"/>
                <w:vertAlign w:val="superscript"/>
              </w:rPr>
              <w:t>(8)</w:t>
            </w:r>
          </w:p>
        </w:tc>
        <w:tc>
          <w:tcPr>
            <w:tcW w:w="152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170"/>
        </w:trPr>
        <w:tc>
          <w:tcPr>
            <w:tcW w:w="1260" w:type="dxa"/>
            <w:vAlign w:val="bottom"/>
          </w:tcPr>
          <w:p>
            <w:pPr>
              <w:ind w:left="140"/>
              <w:spacing w:after="0"/>
              <w:rPr>
                <w:sz w:val="20"/>
                <w:szCs w:val="20"/>
                <w:color w:val="auto"/>
              </w:rPr>
            </w:pPr>
            <w:r>
              <w:rPr>
                <w:rFonts w:ascii="Arial" w:cs="Arial" w:eastAsia="Arial" w:hAnsi="Arial"/>
                <w:sz w:val="14"/>
                <w:szCs w:val="14"/>
                <w:color w:val="auto"/>
              </w:rPr>
              <w:t>Aginity, Inc.</w:t>
            </w:r>
          </w:p>
        </w:tc>
        <w:tc>
          <w:tcPr>
            <w:tcW w:w="1520" w:type="dxa"/>
            <w:vAlign w:val="bottom"/>
          </w:tcPr>
          <w:p>
            <w:pPr>
              <w:ind w:left="60"/>
              <w:spacing w:after="0"/>
              <w:rPr>
                <w:sz w:val="20"/>
                <w:szCs w:val="20"/>
                <w:color w:val="auto"/>
              </w:rPr>
            </w:pPr>
            <w:r>
              <w:rPr>
                <w:rFonts w:ascii="Arial" w:cs="Arial" w:eastAsia="Arial" w:hAnsi="Arial"/>
                <w:sz w:val="14"/>
                <w:szCs w:val="14"/>
                <w:color w:val="auto"/>
              </w:rPr>
              <w:t>Application Software</w:t>
            </w:r>
          </w:p>
        </w:tc>
        <w:tc>
          <w:tcPr>
            <w:tcW w:w="2440" w:type="dxa"/>
            <w:vAlign w:val="bottom"/>
          </w:tcPr>
          <w:p>
            <w:pPr>
              <w:ind w:left="60"/>
              <w:spacing w:after="0"/>
              <w:rPr>
                <w:sz w:val="20"/>
                <w:szCs w:val="20"/>
                <w:color w:val="auto"/>
              </w:rPr>
            </w:pPr>
            <w:r>
              <w:rPr>
                <w:rFonts w:ascii="Arial" w:cs="Arial" w:eastAsia="Arial" w:hAnsi="Arial"/>
                <w:sz w:val="14"/>
                <w:szCs w:val="14"/>
                <w:color w:val="auto"/>
              </w:rPr>
              <w:t>Warrant for Series A Preferred Stock,</w:t>
            </w: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5/25/2018</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359,158</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167,727</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40"/>
        </w:trPr>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40" w:type="dxa"/>
            <w:vAlign w:val="bottom"/>
          </w:tcPr>
          <w:p>
            <w:pPr>
              <w:ind w:left="60"/>
              <w:spacing w:after="0" w:line="141" w:lineRule="exact"/>
              <w:rPr>
                <w:sz w:val="20"/>
                <w:szCs w:val="20"/>
                <w:color w:val="auto"/>
              </w:rPr>
            </w:pPr>
            <w:r>
              <w:rPr>
                <w:rFonts w:ascii="Arial" w:cs="Arial" w:eastAsia="Arial" w:hAnsi="Arial"/>
                <w:sz w:val="14"/>
                <w:szCs w:val="14"/>
                <w:color w:val="auto"/>
              </w:rPr>
              <w:t>exercise price $1.949/share, expires</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56"/>
        </w:trPr>
        <w:tc>
          <w:tcPr>
            <w:tcW w:w="1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Arial" w:cs="Arial" w:eastAsia="Arial" w:hAnsi="Arial"/>
                <w:sz w:val="14"/>
                <w:szCs w:val="14"/>
                <w:color w:val="auto"/>
              </w:rPr>
              <w:t>5/25/2028</w:t>
            </w:r>
            <w:r>
              <w:rPr>
                <w:rFonts w:ascii="Arial" w:cs="Arial" w:eastAsia="Arial" w:hAnsi="Arial"/>
                <w:sz w:val="21"/>
                <w:szCs w:val="21"/>
                <w:color w:val="auto"/>
                <w:vertAlign w:val="superscript"/>
              </w:rPr>
              <w:t>(12)</w:t>
            </w:r>
          </w:p>
        </w:tc>
        <w:tc>
          <w:tcPr>
            <w:tcW w:w="8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70"/>
        </w:trPr>
        <w:tc>
          <w:tcPr>
            <w:tcW w:w="1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40" w:type="dxa"/>
            <w:vAlign w:val="bottom"/>
            <w:shd w:val="clear" w:color="auto" w:fill="CCEEFF"/>
          </w:tcPr>
          <w:p>
            <w:pPr>
              <w:ind w:left="60"/>
              <w:spacing w:after="0"/>
              <w:rPr>
                <w:sz w:val="20"/>
                <w:szCs w:val="20"/>
                <w:color w:val="auto"/>
              </w:rPr>
            </w:pPr>
            <w:r>
              <w:rPr>
                <w:rFonts w:ascii="Arial" w:cs="Arial" w:eastAsia="Arial" w:hAnsi="Arial"/>
                <w:sz w:val="14"/>
                <w:szCs w:val="14"/>
                <w:color w:val="auto"/>
                <w:w w:val="96"/>
              </w:rPr>
              <w:t>Warrant for Series A-1 Preferred Stock,</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2/25/2019</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205,234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151,873</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149"/>
        </w:trPr>
        <w:tc>
          <w:tcPr>
            <w:tcW w:w="12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4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$0.01/share, expires</w:t>
            </w:r>
          </w:p>
        </w:tc>
        <w:tc>
          <w:tcPr>
            <w:tcW w:w="8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82"/>
        </w:trPr>
        <w:tc>
          <w:tcPr>
            <w:tcW w:w="12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440" w:type="dxa"/>
            <w:vAlign w:val="bottom"/>
            <w:shd w:val="clear" w:color="auto" w:fill="CCEEFF"/>
          </w:tcPr>
          <w:p>
            <w:pPr>
              <w:ind w:left="60"/>
              <w:spacing w:after="0"/>
              <w:rPr>
                <w:sz w:val="20"/>
                <w:szCs w:val="20"/>
                <w:color w:val="auto"/>
              </w:rPr>
            </w:pPr>
            <w:r>
              <w:rPr>
                <w:rFonts w:ascii="Arial" w:cs="Arial" w:eastAsia="Arial" w:hAnsi="Arial"/>
                <w:sz w:val="14"/>
                <w:szCs w:val="14"/>
                <w:color w:val="auto"/>
              </w:rPr>
              <w:t>2/25/2029</w:t>
            </w:r>
          </w:p>
        </w:tc>
        <w:tc>
          <w:tcPr>
            <w:tcW w:w="8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39"/>
        </w:trPr>
        <w:tc>
          <w:tcPr>
            <w:tcW w:w="12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24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-1285240</wp:posOffset>
            </wp:positionV>
            <wp:extent cx="61804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sectPr>
      </w:pPr>
    </w:p>
    <w:bookmarkStart w:id="82" w:name="page83"/>
    <w:bookmarkEnd w:id="82"/>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0"/>
              </w:rPr>
              <w:t>Investment Description</w:t>
            </w:r>
            <w:r>
              <w:rPr>
                <w:rFonts w:ascii="Arial" w:cs="Arial" w:eastAsia="Arial" w:hAnsi="Arial"/>
                <w:sz w:val="21"/>
                <w:szCs w:val="21"/>
                <w:b w:val="1"/>
                <w:bCs w:val="1"/>
                <w:color w:val="auto"/>
                <w:w w:val="90"/>
                <w:vertAlign w:val="superscript"/>
              </w:rPr>
              <w:t>(1),(5),(6),(11)</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Acquisition</w:t>
            </w:r>
          </w:p>
        </w:tc>
        <w:tc>
          <w:tcPr>
            <w:tcW w:w="1020" w:type="dxa"/>
            <w:vAlign w:val="bottom"/>
          </w:tcPr>
          <w:p>
            <w:pPr>
              <w:jc w:val="right"/>
              <w:ind w:right="168"/>
              <w:spacing w:after="0"/>
              <w:rPr>
                <w:sz w:val="20"/>
                <w:szCs w:val="20"/>
                <w:color w:val="auto"/>
              </w:rPr>
            </w:pPr>
            <w:r>
              <w:rPr>
                <w:rFonts w:ascii="Arial" w:cs="Arial" w:eastAsia="Arial" w:hAnsi="Arial"/>
                <w:sz w:val="14"/>
                <w:szCs w:val="14"/>
                <w:b w:val="1"/>
                <w:bCs w:val="1"/>
                <w:color w:val="auto"/>
              </w:rPr>
              <w:t>Principal/</w:t>
            </w:r>
          </w:p>
        </w:tc>
        <w:tc>
          <w:tcPr>
            <w:tcW w:w="100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1"/>
                <w:szCs w:val="21"/>
                <w:b w:val="1"/>
                <w:bCs w:val="1"/>
                <w:color w:val="auto"/>
                <w:vertAlign w:val="superscript"/>
              </w:rPr>
              <w:t>(2)</w:t>
            </w:r>
          </w:p>
        </w:tc>
        <w:tc>
          <w:tcPr>
            <w:tcW w:w="540" w:type="dxa"/>
            <w:vAlign w:val="bottom"/>
          </w:tcPr>
          <w:p>
            <w:pPr>
              <w:jc w:val="right"/>
              <w:ind w:right="10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2"/>
        </w:trPr>
        <w:tc>
          <w:tcPr>
            <w:tcW w:w="1320" w:type="dxa"/>
            <w:vAlign w:val="bottom"/>
          </w:tcPr>
          <w:p>
            <w:pPr>
              <w:spacing w:after="0"/>
              <w:rPr>
                <w:sz w:val="20"/>
                <w:szCs w:val="20"/>
                <w:color w:val="auto"/>
              </w:rPr>
            </w:pPr>
            <w:r>
              <w:rPr>
                <w:rFonts w:ascii="Arial" w:cs="Arial" w:eastAsia="Arial" w:hAnsi="Arial"/>
                <w:sz w:val="14"/>
                <w:szCs w:val="14"/>
                <w:b w:val="1"/>
                <w:bCs w:val="1"/>
                <w:color w:val="auto"/>
                <w:w w:val="93"/>
              </w:rPr>
              <w:t>Portfolio Companies</w:t>
            </w:r>
          </w:p>
        </w:tc>
        <w:tc>
          <w:tcPr>
            <w:tcW w:w="1500" w:type="dxa"/>
            <w:vAlign w:val="bottom"/>
          </w:tcPr>
          <w:p>
            <w:pPr>
              <w:ind w:left="320"/>
              <w:spacing w:after="0"/>
              <w:rPr>
                <w:sz w:val="20"/>
                <w:szCs w:val="20"/>
                <w:color w:val="auto"/>
              </w:rPr>
            </w:pPr>
            <w:r>
              <w:rPr>
                <w:rFonts w:ascii="Arial" w:cs="Arial" w:eastAsia="Arial" w:hAnsi="Arial"/>
                <w:sz w:val="14"/>
                <w:szCs w:val="14"/>
                <w:b w:val="1"/>
                <w:bCs w:val="1"/>
                <w:color w:val="auto"/>
              </w:rPr>
              <w:t>Sub-Industry</w:t>
            </w:r>
          </w:p>
        </w:tc>
        <w:tc>
          <w:tcPr>
            <w:tcW w:w="2380" w:type="dxa"/>
            <w:vAlign w:val="bottom"/>
            <w:gridSpan w:val="2"/>
            <w:vMerge w:val="continue"/>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000" w:type="dxa"/>
            <w:vAlign w:val="bottom"/>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40" w:type="dxa"/>
            <w:vAlign w:val="bottom"/>
            <w:vMerge w:val="continue"/>
          </w:tcPr>
          <w:p>
            <w:pPr>
              <w:spacing w:after="0"/>
              <w:rPr>
                <w:sz w:val="18"/>
                <w:szCs w:val="18"/>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w w:val="95"/>
              </w:rPr>
              <w:t>Assets</w:t>
            </w:r>
          </w:p>
        </w:tc>
        <w:tc>
          <w:tcPr>
            <w:tcW w:w="0" w:type="dxa"/>
            <w:vAlign w:val="bottom"/>
          </w:tcPr>
          <w:p>
            <w:pPr>
              <w:spacing w:after="0"/>
              <w:rPr>
                <w:sz w:val="1"/>
                <w:szCs w:val="1"/>
                <w:color w:val="auto"/>
              </w:rPr>
            </w:pPr>
          </w:p>
        </w:tc>
      </w:tr>
      <w:tr>
        <w:trPr>
          <w:trHeight w:val="20"/>
        </w:trPr>
        <w:tc>
          <w:tcPr>
            <w:tcW w:w="1320" w:type="dxa"/>
            <w:vAlign w:val="bottom"/>
            <w:tcBorders>
              <w:right w:val="single" w:sz="8" w:color="CCEEFF"/>
            </w:tcBorders>
            <w:shd w:val="clear" w:color="auto" w:fill="000000"/>
          </w:tcPr>
          <w:p>
            <w:pPr>
              <w:spacing w:after="0" w:line="20" w:lineRule="exact"/>
              <w:rPr>
                <w:sz w:val="1"/>
                <w:szCs w:val="1"/>
                <w:color w:val="auto"/>
              </w:rPr>
            </w:pPr>
          </w:p>
        </w:tc>
        <w:tc>
          <w:tcPr>
            <w:tcW w:w="15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160" w:type="dxa"/>
            <w:vAlign w:val="bottom"/>
            <w:tcBorders>
              <w:right w:val="single" w:sz="8" w:color="CCEEFF"/>
            </w:tcBorders>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Non-control/non-affiliate investments (continued)</w:t>
            </w:r>
          </w:p>
        </w:tc>
        <w:tc>
          <w:tcPr>
            <w:tcW w:w="920" w:type="dxa"/>
            <w:vAlign w:val="bottom"/>
            <w:tcBorders>
              <w:right w:val="single" w:sz="8" w:color="CCEEFF"/>
            </w:tcBorders>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320" w:type="dxa"/>
            <w:vAlign w:val="bottom"/>
            <w:tcBorders>
              <w:top w:val="single" w:sz="8" w:color="auto"/>
              <w:right w:val="single" w:sz="8" w:color="CCEEFF"/>
            </w:tcBorders>
            <w:shd w:val="clear" w:color="auto" w:fill="CCEEFF"/>
          </w:tcPr>
          <w:p>
            <w:pPr>
              <w:spacing w:after="0"/>
              <w:rPr>
                <w:sz w:val="5"/>
                <w:szCs w:val="5"/>
                <w:color w:val="auto"/>
              </w:rPr>
            </w:pPr>
          </w:p>
        </w:tc>
        <w:tc>
          <w:tcPr>
            <w:tcW w:w="150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160" w:type="dxa"/>
            <w:vAlign w:val="bottom"/>
            <w:tcBorders>
              <w:top w:val="single" w:sz="8" w:color="CCEEFF"/>
              <w:right w:val="single" w:sz="8" w:color="CCEEFF"/>
            </w:tcBorders>
            <w:shd w:val="clear" w:color="auto" w:fill="CCEEFF"/>
          </w:tcPr>
          <w:p>
            <w:pPr>
              <w:spacing w:after="0"/>
              <w:rPr>
                <w:sz w:val="5"/>
                <w:szCs w:val="5"/>
                <w:color w:val="auto"/>
              </w:rPr>
            </w:pPr>
          </w:p>
        </w:tc>
        <w:tc>
          <w:tcPr>
            <w:tcW w:w="920" w:type="dxa"/>
            <w:vAlign w:val="bottom"/>
            <w:tcBorders>
              <w:top w:val="single" w:sz="8" w:color="CCEEFF"/>
              <w:right w:val="single" w:sz="8" w:color="CCEEFF"/>
            </w:tcBorders>
            <w:shd w:val="clear" w:color="auto" w:fill="CCEEFF"/>
          </w:tcPr>
          <w:p>
            <w:pPr>
              <w:spacing w:after="0"/>
              <w:rPr>
                <w:sz w:val="5"/>
                <w:szCs w:val="5"/>
                <w:color w:val="auto"/>
              </w:rPr>
            </w:pPr>
          </w:p>
        </w:tc>
        <w:tc>
          <w:tcPr>
            <w:tcW w:w="1020" w:type="dxa"/>
            <w:vAlign w:val="bottom"/>
            <w:tcBorders>
              <w:top w:val="single" w:sz="8" w:color="CCEEFF"/>
              <w:right w:val="single" w:sz="8" w:color="CCEEFF"/>
            </w:tcBorders>
            <w:shd w:val="clear" w:color="auto" w:fill="CCEEFF"/>
          </w:tcPr>
          <w:p>
            <w:pPr>
              <w:spacing w:after="0"/>
              <w:rPr>
                <w:sz w:val="5"/>
                <w:szCs w:val="5"/>
                <w:color w:val="auto"/>
              </w:rPr>
            </w:pPr>
          </w:p>
        </w:tc>
        <w:tc>
          <w:tcPr>
            <w:tcW w:w="1000" w:type="dxa"/>
            <w:vAlign w:val="bottom"/>
            <w:tcBorders>
              <w:top w:val="single" w:sz="8" w:color="CCEEFF"/>
              <w:right w:val="single" w:sz="8" w:color="CCEEFF"/>
            </w:tcBorders>
            <w:shd w:val="clear" w:color="auto" w:fill="CCEEFF"/>
          </w:tcPr>
          <w:p>
            <w:pPr>
              <w:spacing w:after="0"/>
              <w:rPr>
                <w:sz w:val="5"/>
                <w:szCs w:val="5"/>
                <w:color w:val="auto"/>
              </w:rPr>
            </w:pPr>
          </w:p>
        </w:tc>
        <w:tc>
          <w:tcPr>
            <w:tcW w:w="1040" w:type="dxa"/>
            <w:vAlign w:val="bottom"/>
            <w:tcBorders>
              <w:top w:val="single" w:sz="8" w:color="CCEEFF"/>
              <w:right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Warrants</w:t>
            </w:r>
            <w:r>
              <w:rPr>
                <w:rFonts w:ascii="Arial" w:cs="Arial" w:eastAsia="Arial" w:hAnsi="Arial"/>
                <w:sz w:val="21"/>
                <w:szCs w:val="21"/>
                <w:b w:val="1"/>
                <w:bCs w:val="1"/>
                <w:color w:val="auto"/>
                <w:vertAlign w:val="superscript"/>
              </w:rPr>
              <w:t>(8)</w:t>
            </w:r>
            <w:r>
              <w:rPr>
                <w:rFonts w:ascii="Arial" w:cs="Arial" w:eastAsia="Arial" w:hAnsi="Arial"/>
                <w:sz w:val="14"/>
                <w:szCs w:val="14"/>
                <w:b w:val="1"/>
                <w:bCs w:val="1"/>
                <w:color w:val="auto"/>
              </w:rPr>
              <w:t xml:space="preserve"> (continued)</w:t>
            </w:r>
          </w:p>
        </w:tc>
        <w:tc>
          <w:tcPr>
            <w:tcW w:w="2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AllClear ID, Inc.</w:t>
            </w:r>
          </w:p>
        </w:tc>
        <w:tc>
          <w:tcPr>
            <w:tcW w:w="1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Specialized Consumer</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Warrant for Common Stock, exercise</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9/1/2017</w:t>
            </w:r>
          </w:p>
        </w:tc>
        <w:tc>
          <w:tcPr>
            <w:tcW w:w="10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  870,514</w:t>
            </w:r>
          </w:p>
        </w:tc>
        <w:tc>
          <w:tcPr>
            <w:tcW w:w="10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$1,749,733</w:t>
            </w:r>
          </w:p>
        </w:tc>
        <w:tc>
          <w:tcPr>
            <w:tcW w:w="104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  906,205</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15"/>
        </w:trPr>
        <w:tc>
          <w:tcPr>
            <w:tcW w:w="1320" w:type="dxa"/>
            <w:vAlign w:val="bottom"/>
            <w:tcBorders>
              <w:bottom w:val="single" w:sz="8" w:color="CCEEFF"/>
              <w:right w:val="single" w:sz="8" w:color="CCEEFF"/>
            </w:tcBorders>
            <w:shd w:val="clear" w:color="auto" w:fill="CCEEFF"/>
          </w:tcPr>
          <w:p>
            <w:pPr>
              <w:spacing w:after="0"/>
              <w:rPr>
                <w:sz w:val="18"/>
                <w:szCs w:val="18"/>
                <w:color w:val="auto"/>
              </w:rPr>
            </w:pPr>
          </w:p>
        </w:tc>
        <w:tc>
          <w:tcPr>
            <w:tcW w:w="15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Services</w:t>
            </w:r>
          </w:p>
        </w:tc>
        <w:tc>
          <w:tcPr>
            <w:tcW w:w="238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price $0.01/share, expires 9/1/2027</w:t>
            </w: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40"/>
              <w:spacing w:after="0"/>
              <w:rPr>
                <w:sz w:val="20"/>
                <w:szCs w:val="20"/>
                <w:color w:val="auto"/>
              </w:rPr>
            </w:pPr>
            <w:r>
              <w:rPr>
                <w:rFonts w:ascii="Arial" w:cs="Arial" w:eastAsia="Arial" w:hAnsi="Arial"/>
                <w:sz w:val="14"/>
                <w:szCs w:val="14"/>
                <w:color w:val="auto"/>
              </w:rPr>
              <w:t>Aria Systems, Inc.</w:t>
            </w:r>
          </w:p>
        </w:tc>
        <w:tc>
          <w:tcPr>
            <w:tcW w:w="1500" w:type="dxa"/>
            <w:vAlign w:val="bottom"/>
          </w:tcPr>
          <w:p>
            <w:pPr>
              <w:spacing w:after="0"/>
              <w:rPr>
                <w:sz w:val="20"/>
                <w:szCs w:val="20"/>
                <w:color w:val="auto"/>
              </w:rPr>
            </w:pPr>
            <w:r>
              <w:rPr>
                <w:rFonts w:ascii="Arial" w:cs="Arial" w:eastAsia="Arial" w:hAnsi="Arial"/>
                <w:sz w:val="14"/>
                <w:szCs w:val="14"/>
                <w:color w:val="auto"/>
              </w:rPr>
              <w:t>Application Software</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w w:val="99"/>
              </w:rPr>
              <w:t>Warrant for Series G Preferred Stock,</w:t>
            </w: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6/29/2018</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2,170,641</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770,578</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2,633,681</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9"/>
              </w:rPr>
              <w:t>exercise price $0.8638/share, expires</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6/29/2028</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Aspen Group Inc.</w:t>
            </w:r>
          </w:p>
        </w:tc>
        <w:tc>
          <w:tcPr>
            <w:tcW w:w="1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Education Services</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Warrant for Common Stock, exercise</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7/25/2017</w:t>
            </w:r>
          </w:p>
        </w:tc>
        <w:tc>
          <w:tcPr>
            <w:tcW w:w="10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224,174</w:t>
            </w:r>
          </w:p>
        </w:tc>
        <w:tc>
          <w:tcPr>
            <w:tcW w:w="10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583,301</w:t>
            </w:r>
          </w:p>
        </w:tc>
        <w:tc>
          <w:tcPr>
            <w:tcW w:w="104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631,000</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15"/>
        </w:trPr>
        <w:tc>
          <w:tcPr>
            <w:tcW w:w="1320" w:type="dxa"/>
            <w:vAlign w:val="bottom"/>
            <w:tcBorders>
              <w:bottom w:val="single" w:sz="8" w:color="CCEEFF"/>
              <w:right w:val="single" w:sz="8" w:color="CCEEFF"/>
            </w:tcBorders>
            <w:shd w:val="clear" w:color="auto" w:fill="CCEEFF"/>
          </w:tcPr>
          <w:p>
            <w:pPr>
              <w:spacing w:after="0"/>
              <w:rPr>
                <w:sz w:val="18"/>
                <w:szCs w:val="18"/>
                <w:color w:val="auto"/>
              </w:rPr>
            </w:pPr>
          </w:p>
        </w:tc>
        <w:tc>
          <w:tcPr>
            <w:tcW w:w="1500" w:type="dxa"/>
            <w:vAlign w:val="bottom"/>
            <w:tcBorders>
              <w:bottom w:val="single" w:sz="8" w:color="CCEEFF"/>
              <w:right w:val="single" w:sz="8" w:color="CCEEFF"/>
            </w:tcBorders>
            <w:shd w:val="clear" w:color="auto" w:fill="CCEEFF"/>
          </w:tcPr>
          <w:p>
            <w:pPr>
              <w:spacing w:after="0"/>
              <w:rPr>
                <w:sz w:val="18"/>
                <w:szCs w:val="18"/>
                <w:color w:val="auto"/>
              </w:rPr>
            </w:pPr>
          </w:p>
        </w:tc>
        <w:tc>
          <w:tcPr>
            <w:tcW w:w="238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price $6.87/share, expires 7/25/2022</w:t>
            </w: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40"/>
              <w:spacing w:after="0"/>
              <w:rPr>
                <w:sz w:val="20"/>
                <w:szCs w:val="20"/>
                <w:color w:val="auto"/>
              </w:rPr>
            </w:pPr>
            <w:r>
              <w:rPr>
                <w:rFonts w:ascii="Arial" w:cs="Arial" w:eastAsia="Arial" w:hAnsi="Arial"/>
                <w:sz w:val="14"/>
                <w:szCs w:val="14"/>
                <w:color w:val="auto"/>
              </w:rPr>
              <w:t>Brilliant Earth,</w:t>
            </w:r>
          </w:p>
        </w:tc>
        <w:tc>
          <w:tcPr>
            <w:tcW w:w="1500" w:type="dxa"/>
            <w:vAlign w:val="bottom"/>
          </w:tcPr>
          <w:p>
            <w:pPr>
              <w:spacing w:after="0"/>
              <w:rPr>
                <w:sz w:val="20"/>
                <w:szCs w:val="20"/>
                <w:color w:val="auto"/>
              </w:rPr>
            </w:pPr>
            <w:r>
              <w:rPr>
                <w:rFonts w:ascii="Arial" w:cs="Arial" w:eastAsia="Arial" w:hAnsi="Arial"/>
                <w:sz w:val="14"/>
                <w:szCs w:val="14"/>
                <w:color w:val="auto"/>
              </w:rPr>
              <w:t>Internet Retail</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Warrant for Class P Units, exercise</w:t>
            </w: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9/30/2019</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333,333</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973,000</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955,667</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82"/>
        </w:trPr>
        <w:tc>
          <w:tcPr>
            <w:tcW w:w="1320" w:type="dxa"/>
            <w:vAlign w:val="bottom"/>
          </w:tcPr>
          <w:p>
            <w:pPr>
              <w:ind w:left="280"/>
              <w:spacing w:after="0"/>
              <w:rPr>
                <w:sz w:val="20"/>
                <w:szCs w:val="20"/>
                <w:color w:val="auto"/>
              </w:rPr>
            </w:pPr>
            <w:r>
              <w:rPr>
                <w:rFonts w:ascii="Arial" w:cs="Arial" w:eastAsia="Arial" w:hAnsi="Arial"/>
                <w:sz w:val="14"/>
                <w:szCs w:val="14"/>
                <w:color w:val="auto"/>
              </w:rPr>
              <w:t>LLC</w:t>
            </w:r>
          </w:p>
        </w:tc>
        <w:tc>
          <w:tcPr>
            <w:tcW w:w="150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price $5.25/share, expires 9/30/2029</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CareCloud</w:t>
            </w:r>
          </w:p>
        </w:tc>
        <w:tc>
          <w:tcPr>
            <w:tcW w:w="1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Healthcare Technology</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4"/>
              </w:rPr>
              <w:t>Warrant for Series A-1 Preferred Stock,</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4/17/2019</w:t>
            </w:r>
          </w:p>
        </w:tc>
        <w:tc>
          <w:tcPr>
            <w:tcW w:w="10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2,262,579</w:t>
            </w:r>
          </w:p>
        </w:tc>
        <w:tc>
          <w:tcPr>
            <w:tcW w:w="10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394,163</w:t>
            </w:r>
          </w:p>
        </w:tc>
        <w:tc>
          <w:tcPr>
            <w:tcW w:w="104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32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Corporation</w:t>
            </w:r>
          </w:p>
        </w:tc>
        <w:tc>
          <w:tcPr>
            <w:tcW w:w="1500" w:type="dxa"/>
            <w:vAlign w:val="bottom"/>
            <w:tcBorders>
              <w:right w:val="single" w:sz="8" w:color="CCEEFF"/>
            </w:tcBorders>
            <w:shd w:val="clear" w:color="auto" w:fill="CCEEFF"/>
          </w:tcPr>
          <w:p>
            <w:pPr>
              <w:spacing w:after="0"/>
              <w:rPr>
                <w:sz w:val="12"/>
                <w:szCs w:val="12"/>
                <w:color w:val="auto"/>
              </w:rPr>
            </w:pPr>
          </w:p>
        </w:tc>
        <w:tc>
          <w:tcPr>
            <w:tcW w:w="238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exercise price $0.8287/share, expires</w:t>
            </w:r>
          </w:p>
        </w:tc>
        <w:tc>
          <w:tcPr>
            <w:tcW w:w="92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320" w:type="dxa"/>
            <w:vAlign w:val="bottom"/>
            <w:tcBorders>
              <w:bottom w:val="single" w:sz="8" w:color="CCEEFF"/>
              <w:right w:val="single" w:sz="8" w:color="CCEEFF"/>
            </w:tcBorders>
            <w:shd w:val="clear" w:color="auto" w:fill="CCEEFF"/>
          </w:tcPr>
          <w:p>
            <w:pPr>
              <w:spacing w:after="0"/>
              <w:rPr>
                <w:sz w:val="18"/>
                <w:szCs w:val="18"/>
                <w:color w:val="auto"/>
              </w:rPr>
            </w:pPr>
          </w:p>
        </w:tc>
        <w:tc>
          <w:tcPr>
            <w:tcW w:w="1500" w:type="dxa"/>
            <w:vAlign w:val="bottom"/>
            <w:tcBorders>
              <w:bottom w:val="single" w:sz="8" w:color="CCEEFF"/>
              <w:right w:val="single" w:sz="8" w:color="CCEEFF"/>
            </w:tcBorders>
            <w:shd w:val="clear" w:color="auto" w:fill="CCEEFF"/>
          </w:tcPr>
          <w:p>
            <w:pPr>
              <w:spacing w:after="0"/>
              <w:rPr>
                <w:sz w:val="18"/>
                <w:szCs w:val="18"/>
                <w:color w:val="auto"/>
              </w:rPr>
            </w:pPr>
          </w:p>
        </w:tc>
        <w:tc>
          <w:tcPr>
            <w:tcW w:w="238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6/16/2025</w:t>
            </w: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40"/>
              <w:spacing w:after="0"/>
              <w:rPr>
                <w:sz w:val="20"/>
                <w:szCs w:val="20"/>
                <w:color w:val="auto"/>
              </w:rPr>
            </w:pPr>
            <w:r>
              <w:rPr>
                <w:rFonts w:ascii="Arial" w:cs="Arial" w:eastAsia="Arial" w:hAnsi="Arial"/>
                <w:sz w:val="14"/>
                <w:szCs w:val="14"/>
                <w:color w:val="auto"/>
              </w:rPr>
              <w:t>Circadence</w:t>
            </w:r>
          </w:p>
        </w:tc>
        <w:tc>
          <w:tcPr>
            <w:tcW w:w="1500" w:type="dxa"/>
            <w:vAlign w:val="bottom"/>
          </w:tcPr>
          <w:p>
            <w:pPr>
              <w:spacing w:after="0"/>
              <w:rPr>
                <w:sz w:val="20"/>
                <w:szCs w:val="20"/>
                <w:color w:val="auto"/>
              </w:rPr>
            </w:pPr>
            <w:r>
              <w:rPr>
                <w:rFonts w:ascii="Arial" w:cs="Arial" w:eastAsia="Arial" w:hAnsi="Arial"/>
                <w:sz w:val="14"/>
                <w:szCs w:val="14"/>
                <w:color w:val="auto"/>
              </w:rPr>
              <w:t>Application Software</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w w:val="94"/>
              </w:rPr>
              <w:t>Warrant for Series A-5 Preferred Stock,</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12/20/2018</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1,666,667</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3,630,000</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3,393,522</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0.90</w:t>
            </w:r>
          </w:p>
        </w:tc>
        <w:tc>
          <w:tcPr>
            <w:tcW w:w="0" w:type="dxa"/>
            <w:vAlign w:val="bottom"/>
          </w:tcPr>
          <w:p>
            <w:pPr>
              <w:spacing w:after="0"/>
              <w:rPr>
                <w:sz w:val="1"/>
                <w:szCs w:val="1"/>
                <w:color w:val="auto"/>
              </w:rPr>
            </w:pPr>
          </w:p>
        </w:tc>
      </w:tr>
      <w:tr>
        <w:trPr>
          <w:trHeight w:val="148"/>
        </w:trPr>
        <w:tc>
          <w:tcPr>
            <w:tcW w:w="1320" w:type="dxa"/>
            <w:vAlign w:val="bottom"/>
          </w:tcPr>
          <w:p>
            <w:pPr>
              <w:ind w:left="280"/>
              <w:spacing w:after="0" w:line="149" w:lineRule="exact"/>
              <w:rPr>
                <w:sz w:val="20"/>
                <w:szCs w:val="20"/>
                <w:color w:val="auto"/>
              </w:rPr>
            </w:pPr>
            <w:r>
              <w:rPr>
                <w:rFonts w:ascii="Arial" w:cs="Arial" w:eastAsia="Arial" w:hAnsi="Arial"/>
                <w:sz w:val="14"/>
                <w:szCs w:val="14"/>
                <w:color w:val="auto"/>
              </w:rPr>
              <w:t>Corporation</w:t>
            </w:r>
          </w:p>
        </w:tc>
        <w:tc>
          <w:tcPr>
            <w:tcW w:w="1500" w:type="dxa"/>
            <w:vAlign w:val="bottom"/>
          </w:tcPr>
          <w:p>
            <w:pPr>
              <w:spacing w:after="0"/>
              <w:rPr>
                <w:sz w:val="12"/>
                <w:szCs w:val="12"/>
                <w:color w:val="auto"/>
              </w:rPr>
            </w:pPr>
          </w:p>
        </w:tc>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exercise price $1.08/share, expires</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12/20/2028</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spacing w:after="0"/>
              <w:rPr>
                <w:sz w:val="14"/>
                <w:szCs w:val="14"/>
                <w:color w:val="auto"/>
              </w:rPr>
            </w:pPr>
          </w:p>
        </w:tc>
        <w:tc>
          <w:tcPr>
            <w:tcW w:w="1500" w:type="dxa"/>
            <w:vAlign w:val="bottom"/>
            <w:tcBorders>
              <w:right w:val="single" w:sz="8" w:color="CCEEFF"/>
            </w:tcBorders>
            <w:shd w:val="clear" w:color="auto" w:fill="CCEEFF"/>
          </w:tcPr>
          <w:p>
            <w:pPr>
              <w:spacing w:after="0"/>
              <w:rPr>
                <w:sz w:val="14"/>
                <w:szCs w:val="14"/>
                <w:color w:val="auto"/>
              </w:rPr>
            </w:pP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4"/>
              </w:rPr>
              <w:t>Warrant for Series A-5 Preferred Stock,</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10/31/2019</w:t>
            </w:r>
          </w:p>
        </w:tc>
        <w:tc>
          <w:tcPr>
            <w:tcW w:w="10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416,667</w:t>
            </w:r>
          </w:p>
        </w:tc>
        <w:tc>
          <w:tcPr>
            <w:tcW w:w="10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845,540</w:t>
            </w:r>
          </w:p>
        </w:tc>
        <w:tc>
          <w:tcPr>
            <w:tcW w:w="104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848,380</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48"/>
        </w:trPr>
        <w:tc>
          <w:tcPr>
            <w:tcW w:w="1320" w:type="dxa"/>
            <w:vAlign w:val="bottom"/>
            <w:tcBorders>
              <w:right w:val="single" w:sz="8" w:color="CCEEFF"/>
            </w:tcBorders>
            <w:shd w:val="clear" w:color="auto" w:fill="CCEEFF"/>
          </w:tcPr>
          <w:p>
            <w:pPr>
              <w:spacing w:after="0"/>
              <w:rPr>
                <w:sz w:val="12"/>
                <w:szCs w:val="12"/>
                <w:color w:val="auto"/>
              </w:rPr>
            </w:pPr>
          </w:p>
        </w:tc>
        <w:tc>
          <w:tcPr>
            <w:tcW w:w="1500" w:type="dxa"/>
            <w:vAlign w:val="bottom"/>
            <w:tcBorders>
              <w:right w:val="single" w:sz="8" w:color="CCEEFF"/>
            </w:tcBorders>
            <w:shd w:val="clear" w:color="auto" w:fill="CCEEFF"/>
          </w:tcPr>
          <w:p>
            <w:pPr>
              <w:spacing w:after="0"/>
              <w:rPr>
                <w:sz w:val="12"/>
                <w:szCs w:val="12"/>
                <w:color w:val="auto"/>
              </w:rPr>
            </w:pPr>
          </w:p>
        </w:tc>
        <w:tc>
          <w:tcPr>
            <w:tcW w:w="238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exercise price $1.08/share, expires</w:t>
            </w:r>
          </w:p>
        </w:tc>
        <w:tc>
          <w:tcPr>
            <w:tcW w:w="92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320" w:type="dxa"/>
            <w:vAlign w:val="bottom"/>
            <w:tcBorders>
              <w:bottom w:val="single" w:sz="8" w:color="CCEEFF"/>
              <w:right w:val="single" w:sz="8" w:color="CCEEFF"/>
            </w:tcBorders>
            <w:shd w:val="clear" w:color="auto" w:fill="CCEEFF"/>
          </w:tcPr>
          <w:p>
            <w:pPr>
              <w:spacing w:after="0"/>
              <w:rPr>
                <w:sz w:val="18"/>
                <w:szCs w:val="18"/>
                <w:color w:val="auto"/>
              </w:rPr>
            </w:pPr>
          </w:p>
        </w:tc>
        <w:tc>
          <w:tcPr>
            <w:tcW w:w="1500" w:type="dxa"/>
            <w:vAlign w:val="bottom"/>
            <w:tcBorders>
              <w:bottom w:val="single" w:sz="8" w:color="CCEEFF"/>
              <w:right w:val="single" w:sz="8" w:color="CCEEFF"/>
            </w:tcBorders>
            <w:shd w:val="clear" w:color="auto" w:fill="CCEEFF"/>
          </w:tcPr>
          <w:p>
            <w:pPr>
              <w:spacing w:after="0"/>
              <w:rPr>
                <w:sz w:val="18"/>
                <w:szCs w:val="18"/>
                <w:color w:val="auto"/>
              </w:rPr>
            </w:pPr>
          </w:p>
        </w:tc>
        <w:tc>
          <w:tcPr>
            <w:tcW w:w="238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10/31/2029</w:t>
            </w: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40"/>
              <w:spacing w:after="0"/>
              <w:rPr>
                <w:sz w:val="20"/>
                <w:szCs w:val="20"/>
                <w:color w:val="auto"/>
              </w:rPr>
            </w:pPr>
            <w:r>
              <w:rPr>
                <w:rFonts w:ascii="Arial" w:cs="Arial" w:eastAsia="Arial" w:hAnsi="Arial"/>
                <w:sz w:val="14"/>
                <w:szCs w:val="14"/>
                <w:color w:val="auto"/>
              </w:rPr>
              <w:t>Cloud Passage,</w:t>
            </w:r>
          </w:p>
        </w:tc>
        <w:tc>
          <w:tcPr>
            <w:tcW w:w="1500" w:type="dxa"/>
            <w:vAlign w:val="bottom"/>
          </w:tcPr>
          <w:p>
            <w:pPr>
              <w:spacing w:after="0"/>
              <w:rPr>
                <w:sz w:val="20"/>
                <w:szCs w:val="20"/>
                <w:color w:val="auto"/>
              </w:rPr>
            </w:pPr>
            <w:r>
              <w:rPr>
                <w:rFonts w:ascii="Arial" w:cs="Arial" w:eastAsia="Arial" w:hAnsi="Arial"/>
                <w:sz w:val="14"/>
                <w:szCs w:val="14"/>
                <w:color w:val="auto"/>
              </w:rPr>
              <w:t>Data Processing &amp;</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w w:val="94"/>
              </w:rPr>
              <w:t>Warrant for Series D-1 Preferred Stock,</w:t>
            </w: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6/13/2019</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210,938</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273,798</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266,626</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48"/>
        </w:trPr>
        <w:tc>
          <w:tcPr>
            <w:tcW w:w="1320" w:type="dxa"/>
            <w:vAlign w:val="bottom"/>
          </w:tcPr>
          <w:p>
            <w:pPr>
              <w:ind w:left="280"/>
              <w:spacing w:after="0" w:line="149" w:lineRule="exact"/>
              <w:rPr>
                <w:sz w:val="20"/>
                <w:szCs w:val="20"/>
                <w:color w:val="auto"/>
              </w:rPr>
            </w:pPr>
            <w:r>
              <w:rPr>
                <w:rFonts w:ascii="Arial" w:cs="Arial" w:eastAsia="Arial" w:hAnsi="Arial"/>
                <w:sz w:val="14"/>
                <w:szCs w:val="14"/>
                <w:color w:val="auto"/>
              </w:rPr>
              <w:t>Inc.</w:t>
            </w:r>
          </w:p>
        </w:tc>
        <w:tc>
          <w:tcPr>
            <w:tcW w:w="1500" w:type="dxa"/>
            <w:vAlign w:val="bottom"/>
          </w:tcPr>
          <w:p>
            <w:pPr>
              <w:spacing w:after="0" w:line="149" w:lineRule="exact"/>
              <w:rPr>
                <w:sz w:val="20"/>
                <w:szCs w:val="20"/>
                <w:color w:val="auto"/>
              </w:rPr>
            </w:pPr>
            <w:r>
              <w:rPr>
                <w:rFonts w:ascii="Arial" w:cs="Arial" w:eastAsia="Arial" w:hAnsi="Arial"/>
                <w:sz w:val="14"/>
                <w:szCs w:val="14"/>
                <w:color w:val="auto"/>
              </w:rPr>
              <w:t>Outsourced Services</w:t>
            </w:r>
          </w:p>
        </w:tc>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exercise price $1.60/share, expires</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6/13/2029</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Dejero Labs Inc.</w:t>
            </w:r>
          </w:p>
        </w:tc>
        <w:tc>
          <w:tcPr>
            <w:tcW w:w="1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Data Processing &amp;</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Warrant for Common Stock, exercise</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5/31/2019</w:t>
            </w:r>
          </w:p>
        </w:tc>
        <w:tc>
          <w:tcPr>
            <w:tcW w:w="10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333,621</w:t>
            </w:r>
          </w:p>
        </w:tc>
        <w:tc>
          <w:tcPr>
            <w:tcW w:w="10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192,499</w:t>
            </w:r>
          </w:p>
        </w:tc>
        <w:tc>
          <w:tcPr>
            <w:tcW w:w="104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198,664</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0"/>
        </w:trPr>
        <w:tc>
          <w:tcPr>
            <w:tcW w:w="1320" w:type="dxa"/>
            <w:vAlign w:val="bottom"/>
            <w:tcBorders>
              <w:right w:val="single" w:sz="8" w:color="CCEEFF"/>
            </w:tcBorders>
            <w:shd w:val="clear" w:color="auto" w:fill="CCEEFF"/>
          </w:tcPr>
          <w:p>
            <w:pPr>
              <w:spacing w:after="0"/>
              <w:rPr>
                <w:sz w:val="12"/>
                <w:szCs w:val="12"/>
                <w:color w:val="auto"/>
              </w:rPr>
            </w:pPr>
          </w:p>
        </w:tc>
        <w:tc>
          <w:tcPr>
            <w:tcW w:w="1500" w:type="dxa"/>
            <w:vAlign w:val="bottom"/>
            <w:tcBorders>
              <w:right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Outsourced Services</w:t>
            </w:r>
          </w:p>
        </w:tc>
        <w:tc>
          <w:tcPr>
            <w:tcW w:w="2380" w:type="dxa"/>
            <w:vAlign w:val="bottom"/>
            <w:tcBorders>
              <w:right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4"/>
                <w:szCs w:val="14"/>
                <w:color w:val="auto"/>
              </w:rPr>
              <w:t>price $0.01/share, expires</w:t>
            </w:r>
          </w:p>
        </w:tc>
        <w:tc>
          <w:tcPr>
            <w:tcW w:w="92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320" w:type="dxa"/>
            <w:vAlign w:val="bottom"/>
            <w:tcBorders>
              <w:right w:val="single" w:sz="8" w:color="CCEEFF"/>
            </w:tcBorders>
            <w:shd w:val="clear" w:color="auto" w:fill="CCEEFF"/>
          </w:tcPr>
          <w:p>
            <w:pPr>
              <w:spacing w:after="0"/>
              <w:rPr>
                <w:sz w:val="22"/>
                <w:szCs w:val="22"/>
                <w:color w:val="auto"/>
              </w:rPr>
            </w:pPr>
          </w:p>
        </w:tc>
        <w:tc>
          <w:tcPr>
            <w:tcW w:w="1500" w:type="dxa"/>
            <w:vAlign w:val="bottom"/>
            <w:tcBorders>
              <w:right w:val="single" w:sz="8" w:color="CCEEFF"/>
            </w:tcBorders>
            <w:shd w:val="clear" w:color="auto" w:fill="CCEEFF"/>
          </w:tcPr>
          <w:p>
            <w:pPr>
              <w:spacing w:after="0"/>
              <w:rPr>
                <w:sz w:val="22"/>
                <w:szCs w:val="22"/>
                <w:color w:val="auto"/>
              </w:rPr>
            </w:pP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5/31/2029</w:t>
            </w:r>
            <w:r>
              <w:rPr>
                <w:rFonts w:ascii="Arial" w:cs="Arial" w:eastAsia="Arial" w:hAnsi="Arial"/>
                <w:sz w:val="21"/>
                <w:szCs w:val="21"/>
                <w:color w:val="auto"/>
                <w:vertAlign w:val="superscript"/>
              </w:rPr>
              <w:t>(3),(7)</w:t>
            </w:r>
          </w:p>
        </w:tc>
        <w:tc>
          <w:tcPr>
            <w:tcW w:w="920" w:type="dxa"/>
            <w:vAlign w:val="bottom"/>
            <w:tcBorders>
              <w:right w:val="single" w:sz="8" w:color="CCEEFF"/>
            </w:tcBorders>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spacing w:after="0"/>
              <w:rPr>
                <w:sz w:val="22"/>
                <w:szCs w:val="22"/>
                <w:color w:val="auto"/>
              </w:rPr>
            </w:pPr>
          </w:p>
        </w:tc>
        <w:tc>
          <w:tcPr>
            <w:tcW w:w="1040" w:type="dxa"/>
            <w:vAlign w:val="bottom"/>
            <w:tcBorders>
              <w:right w:val="single" w:sz="8" w:color="CCEEFF"/>
            </w:tcBorders>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820" w:type="dxa"/>
            <w:vAlign w:val="bottom"/>
            <w:gridSpan w:val="2"/>
          </w:tcPr>
          <w:p>
            <w:pPr>
              <w:ind w:left="140"/>
              <w:spacing w:after="0"/>
              <w:rPr>
                <w:sz w:val="20"/>
                <w:szCs w:val="20"/>
                <w:color w:val="auto"/>
              </w:rPr>
            </w:pPr>
            <w:r>
              <w:rPr>
                <w:rFonts w:ascii="Arial" w:cs="Arial" w:eastAsia="Arial" w:hAnsi="Arial"/>
                <w:sz w:val="14"/>
                <w:szCs w:val="14"/>
                <w:color w:val="auto"/>
              </w:rPr>
              <w:t>Dtex Systems, Inc. Application Software</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Warrant for Series C-Prime Preferred</w:t>
            </w: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6/1/2018</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500,000</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59,000</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57,500</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Stock, exercise price $0.6000/share,</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expires 6/1/2025</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spacing w:after="0"/>
              <w:rPr>
                <w:sz w:val="14"/>
                <w:szCs w:val="14"/>
                <w:color w:val="auto"/>
              </w:rPr>
            </w:pPr>
          </w:p>
        </w:tc>
        <w:tc>
          <w:tcPr>
            <w:tcW w:w="1500" w:type="dxa"/>
            <w:vAlign w:val="bottom"/>
            <w:tcBorders>
              <w:right w:val="single" w:sz="8" w:color="CCEEFF"/>
            </w:tcBorders>
            <w:shd w:val="clear" w:color="auto" w:fill="CCEEFF"/>
          </w:tcPr>
          <w:p>
            <w:pPr>
              <w:spacing w:after="0"/>
              <w:rPr>
                <w:sz w:val="14"/>
                <w:szCs w:val="14"/>
                <w:color w:val="auto"/>
              </w:rPr>
            </w:pP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Warrant for Series C-Prime Preferred</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7/11/2019</w:t>
            </w:r>
          </w:p>
        </w:tc>
        <w:tc>
          <w:tcPr>
            <w:tcW w:w="10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833,333</w:t>
            </w:r>
          </w:p>
        </w:tc>
        <w:tc>
          <w:tcPr>
            <w:tcW w:w="10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114,719</w:t>
            </w:r>
          </w:p>
        </w:tc>
        <w:tc>
          <w:tcPr>
            <w:tcW w:w="104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115,000</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49"/>
        </w:trPr>
        <w:tc>
          <w:tcPr>
            <w:tcW w:w="1320" w:type="dxa"/>
            <w:vAlign w:val="bottom"/>
            <w:tcBorders>
              <w:right w:val="single" w:sz="8" w:color="CCEEFF"/>
            </w:tcBorders>
            <w:shd w:val="clear" w:color="auto" w:fill="CCEEFF"/>
          </w:tcPr>
          <w:p>
            <w:pPr>
              <w:spacing w:after="0"/>
              <w:rPr>
                <w:sz w:val="12"/>
                <w:szCs w:val="12"/>
                <w:color w:val="auto"/>
              </w:rPr>
            </w:pPr>
          </w:p>
        </w:tc>
        <w:tc>
          <w:tcPr>
            <w:tcW w:w="1500" w:type="dxa"/>
            <w:vAlign w:val="bottom"/>
            <w:tcBorders>
              <w:right w:val="single" w:sz="8" w:color="CCEEFF"/>
            </w:tcBorders>
            <w:shd w:val="clear" w:color="auto" w:fill="CCEEFF"/>
          </w:tcPr>
          <w:p>
            <w:pPr>
              <w:spacing w:after="0"/>
              <w:rPr>
                <w:sz w:val="12"/>
                <w:szCs w:val="12"/>
                <w:color w:val="auto"/>
              </w:rPr>
            </w:pPr>
          </w:p>
        </w:tc>
        <w:tc>
          <w:tcPr>
            <w:tcW w:w="238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Stock, exercise price $0.6000/share,</w:t>
            </w:r>
          </w:p>
        </w:tc>
        <w:tc>
          <w:tcPr>
            <w:tcW w:w="92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320" w:type="dxa"/>
            <w:vAlign w:val="bottom"/>
            <w:tcBorders>
              <w:bottom w:val="single" w:sz="8" w:color="CCEEFF"/>
              <w:right w:val="single" w:sz="8" w:color="CCEEFF"/>
            </w:tcBorders>
            <w:shd w:val="clear" w:color="auto" w:fill="CCEEFF"/>
          </w:tcPr>
          <w:p>
            <w:pPr>
              <w:spacing w:after="0"/>
              <w:rPr>
                <w:sz w:val="18"/>
                <w:szCs w:val="18"/>
                <w:color w:val="auto"/>
              </w:rPr>
            </w:pPr>
          </w:p>
        </w:tc>
        <w:tc>
          <w:tcPr>
            <w:tcW w:w="1500" w:type="dxa"/>
            <w:vAlign w:val="bottom"/>
            <w:tcBorders>
              <w:bottom w:val="single" w:sz="8" w:color="CCEEFF"/>
              <w:right w:val="single" w:sz="8" w:color="CCEEFF"/>
            </w:tcBorders>
            <w:shd w:val="clear" w:color="auto" w:fill="CCEEFF"/>
          </w:tcPr>
          <w:p>
            <w:pPr>
              <w:spacing w:after="0"/>
              <w:rPr>
                <w:sz w:val="18"/>
                <w:szCs w:val="18"/>
                <w:color w:val="auto"/>
              </w:rPr>
            </w:pPr>
          </w:p>
        </w:tc>
        <w:tc>
          <w:tcPr>
            <w:tcW w:w="238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expires 7/11/2026</w:t>
            </w: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40"/>
              <w:spacing w:after="0"/>
              <w:rPr>
                <w:sz w:val="20"/>
                <w:szCs w:val="20"/>
                <w:color w:val="auto"/>
              </w:rPr>
            </w:pPr>
            <w:r>
              <w:rPr>
                <w:rFonts w:ascii="Arial" w:cs="Arial" w:eastAsia="Arial" w:hAnsi="Arial"/>
                <w:sz w:val="14"/>
                <w:szCs w:val="14"/>
                <w:color w:val="auto"/>
              </w:rPr>
              <w:t>Echo 360</w:t>
            </w:r>
          </w:p>
        </w:tc>
        <w:tc>
          <w:tcPr>
            <w:tcW w:w="1500" w:type="dxa"/>
            <w:vAlign w:val="bottom"/>
          </w:tcPr>
          <w:p>
            <w:pPr>
              <w:spacing w:after="0"/>
              <w:rPr>
                <w:sz w:val="20"/>
                <w:szCs w:val="20"/>
                <w:color w:val="auto"/>
              </w:rPr>
            </w:pPr>
            <w:r>
              <w:rPr>
                <w:rFonts w:ascii="Arial" w:cs="Arial" w:eastAsia="Arial" w:hAnsi="Arial"/>
                <w:sz w:val="14"/>
                <w:szCs w:val="14"/>
                <w:color w:val="auto"/>
              </w:rPr>
              <w:t>Education Services</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Warrant for Series E Preferred Stock,</w:t>
            </w: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5/3/2019</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1,066,767</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299,762</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318,963</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48"/>
        </w:trPr>
        <w:tc>
          <w:tcPr>
            <w:tcW w:w="1320" w:type="dxa"/>
            <w:vAlign w:val="bottom"/>
          </w:tcPr>
          <w:p>
            <w:pPr>
              <w:ind w:left="280"/>
              <w:spacing w:after="0" w:line="149" w:lineRule="exact"/>
              <w:rPr>
                <w:sz w:val="20"/>
                <w:szCs w:val="20"/>
                <w:color w:val="auto"/>
              </w:rPr>
            </w:pPr>
            <w:r>
              <w:rPr>
                <w:rFonts w:ascii="Arial" w:cs="Arial" w:eastAsia="Arial" w:hAnsi="Arial"/>
                <w:sz w:val="14"/>
                <w:szCs w:val="14"/>
                <w:color w:val="auto"/>
              </w:rPr>
              <w:t>Holdings, Inc.</w:t>
            </w:r>
          </w:p>
        </w:tc>
        <w:tc>
          <w:tcPr>
            <w:tcW w:w="1500" w:type="dxa"/>
            <w:vAlign w:val="bottom"/>
          </w:tcPr>
          <w:p>
            <w:pPr>
              <w:spacing w:after="0"/>
              <w:rPr>
                <w:sz w:val="12"/>
                <w:szCs w:val="12"/>
                <w:color w:val="auto"/>
              </w:rPr>
            </w:pPr>
          </w:p>
        </w:tc>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9"/>
              </w:rPr>
              <w:t>exercise price $1.5963/share, expires</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5/3/2029</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3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eSilicon</w:t>
            </w:r>
          </w:p>
        </w:tc>
        <w:tc>
          <w:tcPr>
            <w:tcW w:w="1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Semiconductors</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9"/>
              </w:rPr>
              <w:t>Warrant for Series H Preferred Stock,</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7/31/2017</w:t>
            </w:r>
          </w:p>
        </w:tc>
        <w:tc>
          <w:tcPr>
            <w:tcW w:w="10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1,485,149</w:t>
            </w:r>
          </w:p>
        </w:tc>
        <w:tc>
          <w:tcPr>
            <w:tcW w:w="10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543,564</w:t>
            </w:r>
          </w:p>
        </w:tc>
        <w:tc>
          <w:tcPr>
            <w:tcW w:w="104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2,249,999</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149"/>
        </w:trPr>
        <w:tc>
          <w:tcPr>
            <w:tcW w:w="132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Corporation</w:t>
            </w:r>
          </w:p>
        </w:tc>
        <w:tc>
          <w:tcPr>
            <w:tcW w:w="1500" w:type="dxa"/>
            <w:vAlign w:val="bottom"/>
            <w:tcBorders>
              <w:right w:val="single" w:sz="8" w:color="CCEEFF"/>
            </w:tcBorders>
            <w:shd w:val="clear" w:color="auto" w:fill="CCEEFF"/>
          </w:tcPr>
          <w:p>
            <w:pPr>
              <w:spacing w:after="0"/>
              <w:rPr>
                <w:sz w:val="12"/>
                <w:szCs w:val="12"/>
                <w:color w:val="auto"/>
              </w:rPr>
            </w:pPr>
          </w:p>
        </w:tc>
        <w:tc>
          <w:tcPr>
            <w:tcW w:w="238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exercise price $1.01/share, expires</w:t>
            </w:r>
          </w:p>
        </w:tc>
        <w:tc>
          <w:tcPr>
            <w:tcW w:w="92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Borders>
              <w:right w:val="single" w:sz="8" w:color="CCEEFF"/>
            </w:tcBorders>
            <w:shd w:val="clear" w:color="auto" w:fill="CCEEFF"/>
          </w:tcPr>
          <w:p>
            <w:pPr>
              <w:spacing w:after="0"/>
              <w:rPr>
                <w:sz w:val="15"/>
                <w:szCs w:val="15"/>
                <w:color w:val="auto"/>
              </w:rPr>
            </w:pPr>
          </w:p>
        </w:tc>
        <w:tc>
          <w:tcPr>
            <w:tcW w:w="1500" w:type="dxa"/>
            <w:vAlign w:val="bottom"/>
            <w:tcBorders>
              <w:right w:val="single" w:sz="8" w:color="CCEEFF"/>
            </w:tcBorders>
            <w:shd w:val="clear" w:color="auto" w:fill="CCEEFF"/>
          </w:tcPr>
          <w:p>
            <w:pPr>
              <w:spacing w:after="0"/>
              <w:rPr>
                <w:sz w:val="15"/>
                <w:szCs w:val="15"/>
                <w:color w:val="auto"/>
              </w:rPr>
            </w:pP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7/31/2027</w:t>
            </w:r>
          </w:p>
        </w:tc>
        <w:tc>
          <w:tcPr>
            <w:tcW w:w="920" w:type="dxa"/>
            <w:vAlign w:val="bottom"/>
            <w:tcBorders>
              <w:right w:val="single" w:sz="8" w:color="CCEEFF"/>
            </w:tcBorders>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320" w:type="dxa"/>
            <w:vAlign w:val="bottom"/>
            <w:tcBorders>
              <w:right w:val="single" w:sz="8" w:color="CCEEFF"/>
            </w:tcBorders>
            <w:shd w:val="clear" w:color="auto" w:fill="CCEEFF"/>
          </w:tcPr>
          <w:p>
            <w:pPr>
              <w:spacing w:after="0"/>
              <w:rPr>
                <w:sz w:val="5"/>
                <w:szCs w:val="5"/>
                <w:color w:val="auto"/>
              </w:rPr>
            </w:pPr>
          </w:p>
        </w:tc>
        <w:tc>
          <w:tcPr>
            <w:tcW w:w="1500" w:type="dxa"/>
            <w:vAlign w:val="bottom"/>
            <w:tcBorders>
              <w:right w:val="single" w:sz="8" w:color="CCEEFF"/>
            </w:tcBorders>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160" w:type="dxa"/>
            <w:vAlign w:val="bottom"/>
            <w:tcBorders>
              <w:right w:val="single" w:sz="8" w:color="CCEEFF"/>
            </w:tcBorders>
            <w:shd w:val="clear" w:color="auto" w:fill="CCEEFF"/>
          </w:tcPr>
          <w:p>
            <w:pPr>
              <w:spacing w:after="0"/>
              <w:rPr>
                <w:sz w:val="5"/>
                <w:szCs w:val="5"/>
                <w:color w:val="auto"/>
              </w:rPr>
            </w:pPr>
          </w:p>
        </w:tc>
        <w:tc>
          <w:tcPr>
            <w:tcW w:w="920" w:type="dxa"/>
            <w:vAlign w:val="bottom"/>
            <w:tcBorders>
              <w:right w:val="single" w:sz="8" w:color="CCEEFF"/>
            </w:tcBorders>
            <w:shd w:val="clear" w:color="auto" w:fill="CCEEFF"/>
          </w:tcPr>
          <w:p>
            <w:pPr>
              <w:spacing w:after="0"/>
              <w:rPr>
                <w:sz w:val="5"/>
                <w:szCs w:val="5"/>
                <w:color w:val="auto"/>
              </w:rPr>
            </w:pPr>
          </w:p>
        </w:tc>
        <w:tc>
          <w:tcPr>
            <w:tcW w:w="1020" w:type="dxa"/>
            <w:vAlign w:val="bottom"/>
            <w:tcBorders>
              <w:right w:val="single" w:sz="8" w:color="CCEEFF"/>
            </w:tcBorders>
            <w:shd w:val="clear" w:color="auto" w:fill="CCEEFF"/>
          </w:tcPr>
          <w:p>
            <w:pPr>
              <w:spacing w:after="0"/>
              <w:rPr>
                <w:sz w:val="5"/>
                <w:szCs w:val="5"/>
                <w:color w:val="auto"/>
              </w:rPr>
            </w:pPr>
          </w:p>
        </w:tc>
        <w:tc>
          <w:tcPr>
            <w:tcW w:w="1000" w:type="dxa"/>
            <w:vAlign w:val="bottom"/>
            <w:tcBorders>
              <w:right w:val="single" w:sz="8" w:color="CCEEFF"/>
            </w:tcBorders>
            <w:shd w:val="clear" w:color="auto" w:fill="CCEEFF"/>
          </w:tcPr>
          <w:p>
            <w:pPr>
              <w:spacing w:after="0"/>
              <w:rPr>
                <w:sz w:val="5"/>
                <w:szCs w:val="5"/>
                <w:color w:val="auto"/>
              </w:rPr>
            </w:pPr>
          </w:p>
        </w:tc>
        <w:tc>
          <w:tcPr>
            <w:tcW w:w="1040" w:type="dxa"/>
            <w:vAlign w:val="bottom"/>
            <w:tcBorders>
              <w:right w:val="single" w:sz="8" w:color="CCEEFF"/>
            </w:tcBorders>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w w:val="99"/>
              </w:rPr>
              <w:t>Warrant for Series H Preferred Stock,</w:t>
            </w: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6/21/2019</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990,099</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312,871</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500,000</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exercise price $1.01/share, expires</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6/21/2029</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3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INRIX, Inc.</w:t>
            </w:r>
          </w:p>
        </w:tc>
        <w:tc>
          <w:tcPr>
            <w:tcW w:w="1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Internet Software and</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Warrant for Common Stock, exercise</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7/26/2019</w:t>
            </w:r>
          </w:p>
        </w:tc>
        <w:tc>
          <w:tcPr>
            <w:tcW w:w="10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150,804</w:t>
            </w:r>
          </w:p>
        </w:tc>
        <w:tc>
          <w:tcPr>
            <w:tcW w:w="10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522,083</w:t>
            </w:r>
          </w:p>
        </w:tc>
        <w:tc>
          <w:tcPr>
            <w:tcW w:w="104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475,485</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82"/>
        </w:trPr>
        <w:tc>
          <w:tcPr>
            <w:tcW w:w="1320" w:type="dxa"/>
            <w:vAlign w:val="bottom"/>
            <w:tcBorders>
              <w:right w:val="single" w:sz="8" w:color="CCEEFF"/>
            </w:tcBorders>
            <w:shd w:val="clear" w:color="auto" w:fill="CCEEFF"/>
          </w:tcPr>
          <w:p>
            <w:pPr>
              <w:spacing w:after="0"/>
              <w:rPr>
                <w:sz w:val="15"/>
                <w:szCs w:val="15"/>
                <w:color w:val="auto"/>
              </w:rPr>
            </w:pPr>
          </w:p>
        </w:tc>
        <w:tc>
          <w:tcPr>
            <w:tcW w:w="1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Services</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price $9.29/share, expires 7/26/2029</w:t>
            </w:r>
          </w:p>
        </w:tc>
        <w:tc>
          <w:tcPr>
            <w:tcW w:w="920" w:type="dxa"/>
            <w:vAlign w:val="bottom"/>
            <w:tcBorders>
              <w:right w:val="single" w:sz="8" w:color="CCEEFF"/>
            </w:tcBorders>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320" w:type="dxa"/>
            <w:vAlign w:val="bottom"/>
            <w:tcBorders>
              <w:right w:val="single" w:sz="8" w:color="CCEEFF"/>
            </w:tcBorders>
            <w:shd w:val="clear" w:color="auto" w:fill="CCEEFF"/>
          </w:tcPr>
          <w:p>
            <w:pPr>
              <w:spacing w:after="0"/>
              <w:rPr>
                <w:sz w:val="5"/>
                <w:szCs w:val="5"/>
                <w:color w:val="auto"/>
              </w:rPr>
            </w:pPr>
          </w:p>
        </w:tc>
        <w:tc>
          <w:tcPr>
            <w:tcW w:w="1500" w:type="dxa"/>
            <w:vAlign w:val="bottom"/>
            <w:tcBorders>
              <w:right w:val="single" w:sz="8" w:color="CCEEFF"/>
            </w:tcBorders>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160" w:type="dxa"/>
            <w:vAlign w:val="bottom"/>
            <w:tcBorders>
              <w:right w:val="single" w:sz="8" w:color="CCEEFF"/>
            </w:tcBorders>
            <w:shd w:val="clear" w:color="auto" w:fill="CCEEFF"/>
          </w:tcPr>
          <w:p>
            <w:pPr>
              <w:spacing w:after="0"/>
              <w:rPr>
                <w:sz w:val="5"/>
                <w:szCs w:val="5"/>
                <w:color w:val="auto"/>
              </w:rPr>
            </w:pPr>
          </w:p>
        </w:tc>
        <w:tc>
          <w:tcPr>
            <w:tcW w:w="920" w:type="dxa"/>
            <w:vAlign w:val="bottom"/>
            <w:tcBorders>
              <w:right w:val="single" w:sz="8" w:color="CCEEFF"/>
            </w:tcBorders>
            <w:shd w:val="clear" w:color="auto" w:fill="CCEEFF"/>
          </w:tcPr>
          <w:p>
            <w:pPr>
              <w:spacing w:after="0"/>
              <w:rPr>
                <w:sz w:val="5"/>
                <w:szCs w:val="5"/>
                <w:color w:val="auto"/>
              </w:rPr>
            </w:pPr>
          </w:p>
        </w:tc>
        <w:tc>
          <w:tcPr>
            <w:tcW w:w="1020" w:type="dxa"/>
            <w:vAlign w:val="bottom"/>
            <w:tcBorders>
              <w:right w:val="single" w:sz="8" w:color="CCEEFF"/>
            </w:tcBorders>
            <w:shd w:val="clear" w:color="auto" w:fill="CCEEFF"/>
          </w:tcPr>
          <w:p>
            <w:pPr>
              <w:spacing w:after="0"/>
              <w:rPr>
                <w:sz w:val="5"/>
                <w:szCs w:val="5"/>
                <w:color w:val="auto"/>
              </w:rPr>
            </w:pPr>
          </w:p>
        </w:tc>
        <w:tc>
          <w:tcPr>
            <w:tcW w:w="1000" w:type="dxa"/>
            <w:vAlign w:val="bottom"/>
            <w:tcBorders>
              <w:right w:val="single" w:sz="8" w:color="CCEEFF"/>
            </w:tcBorders>
            <w:shd w:val="clear" w:color="auto" w:fill="CCEEFF"/>
          </w:tcPr>
          <w:p>
            <w:pPr>
              <w:spacing w:after="0"/>
              <w:rPr>
                <w:sz w:val="5"/>
                <w:szCs w:val="5"/>
                <w:color w:val="auto"/>
              </w:rPr>
            </w:pPr>
          </w:p>
        </w:tc>
        <w:tc>
          <w:tcPr>
            <w:tcW w:w="1040" w:type="dxa"/>
            <w:vAlign w:val="bottom"/>
            <w:tcBorders>
              <w:right w:val="single" w:sz="8" w:color="CCEEFF"/>
            </w:tcBorders>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40"/>
              <w:spacing w:after="0"/>
              <w:rPr>
                <w:sz w:val="20"/>
                <w:szCs w:val="20"/>
                <w:color w:val="auto"/>
              </w:rPr>
            </w:pPr>
            <w:r>
              <w:rPr>
                <w:rFonts w:ascii="Arial" w:cs="Arial" w:eastAsia="Arial" w:hAnsi="Arial"/>
                <w:sz w:val="14"/>
                <w:szCs w:val="14"/>
                <w:color w:val="auto"/>
              </w:rPr>
              <w:t>Longtail Ad</w:t>
            </w:r>
          </w:p>
        </w:tc>
        <w:tc>
          <w:tcPr>
            <w:tcW w:w="1500" w:type="dxa"/>
            <w:vAlign w:val="bottom"/>
          </w:tcPr>
          <w:p>
            <w:pPr>
              <w:spacing w:after="0"/>
              <w:rPr>
                <w:sz w:val="20"/>
                <w:szCs w:val="20"/>
                <w:color w:val="auto"/>
              </w:rPr>
            </w:pPr>
            <w:r>
              <w:rPr>
                <w:rFonts w:ascii="Arial" w:cs="Arial" w:eastAsia="Arial" w:hAnsi="Arial"/>
                <w:sz w:val="14"/>
                <w:szCs w:val="14"/>
                <w:color w:val="auto"/>
              </w:rPr>
              <w:t>Internet Software and</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Warrant for Common Stock, exercise</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12/12/2019</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332,997</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38,800</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38,800</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48"/>
        </w:trPr>
        <w:tc>
          <w:tcPr>
            <w:tcW w:w="1320" w:type="dxa"/>
            <w:vAlign w:val="bottom"/>
          </w:tcPr>
          <w:p>
            <w:pPr>
              <w:ind w:left="280"/>
              <w:spacing w:after="0" w:line="149" w:lineRule="exact"/>
              <w:rPr>
                <w:sz w:val="20"/>
                <w:szCs w:val="20"/>
                <w:color w:val="auto"/>
              </w:rPr>
            </w:pPr>
            <w:r>
              <w:rPr>
                <w:rFonts w:ascii="Arial" w:cs="Arial" w:eastAsia="Arial" w:hAnsi="Arial"/>
                <w:sz w:val="14"/>
                <w:szCs w:val="14"/>
                <w:color w:val="auto"/>
              </w:rPr>
              <w:t>Solutions, Inc.</w:t>
            </w:r>
          </w:p>
        </w:tc>
        <w:tc>
          <w:tcPr>
            <w:tcW w:w="1500" w:type="dxa"/>
            <w:vAlign w:val="bottom"/>
          </w:tcPr>
          <w:p>
            <w:pPr>
              <w:spacing w:after="0" w:line="149" w:lineRule="exact"/>
              <w:rPr>
                <w:sz w:val="20"/>
                <w:szCs w:val="20"/>
                <w:color w:val="auto"/>
              </w:rPr>
            </w:pPr>
            <w:r>
              <w:rPr>
                <w:rFonts w:ascii="Arial" w:cs="Arial" w:eastAsia="Arial" w:hAnsi="Arial"/>
                <w:sz w:val="14"/>
                <w:szCs w:val="14"/>
                <w:color w:val="auto"/>
              </w:rPr>
              <w:t>Services</w:t>
            </w:r>
          </w:p>
        </w:tc>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8"/>
              </w:rPr>
              <w:t>price $1.49/share, expires 12/12/2029</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280"/>
              <w:spacing w:after="0" w:line="149" w:lineRule="exact"/>
              <w:rPr>
                <w:sz w:val="20"/>
                <w:szCs w:val="20"/>
                <w:color w:val="auto"/>
              </w:rPr>
            </w:pPr>
            <w:r>
              <w:rPr>
                <w:rFonts w:ascii="Arial" w:cs="Arial" w:eastAsia="Arial" w:hAnsi="Arial"/>
                <w:sz w:val="14"/>
                <w:szCs w:val="14"/>
                <w:color w:val="auto"/>
              </w:rPr>
              <w:t>(dba JW</w:t>
            </w: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ind w:left="280"/>
              <w:spacing w:after="0"/>
              <w:rPr>
                <w:sz w:val="20"/>
                <w:szCs w:val="20"/>
                <w:color w:val="auto"/>
              </w:rPr>
            </w:pPr>
            <w:r>
              <w:rPr>
                <w:rFonts w:ascii="Arial" w:cs="Arial" w:eastAsia="Arial" w:hAnsi="Arial"/>
                <w:sz w:val="14"/>
                <w:szCs w:val="14"/>
                <w:color w:val="auto"/>
              </w:rPr>
              <w:t>Player)</w:t>
            </w: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-5692140</wp:posOffset>
            </wp:positionV>
            <wp:extent cx="342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-5692140</wp:posOffset>
            </wp:positionV>
            <wp:extent cx="342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-5692140</wp:posOffset>
            </wp:positionV>
            <wp:extent cx="342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-5692140</wp:posOffset>
            </wp:positionV>
            <wp:extent cx="342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-5692140</wp:posOffset>
            </wp:positionV>
            <wp:extent cx="342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-5692140</wp:posOffset>
            </wp:positionV>
            <wp:extent cx="342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-5692140</wp:posOffset>
            </wp:positionV>
            <wp:extent cx="342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sectPr>
      </w:pPr>
    </w:p>
    <w:bookmarkStart w:id="83" w:name="page84"/>
    <w:bookmarkEnd w:id="83"/>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0"/>
              </w:rPr>
              <w:t>Investment Description</w:t>
            </w:r>
            <w:r>
              <w:rPr>
                <w:rFonts w:ascii="Arial" w:cs="Arial" w:eastAsia="Arial" w:hAnsi="Arial"/>
                <w:sz w:val="21"/>
                <w:szCs w:val="21"/>
                <w:b w:val="1"/>
                <w:bCs w:val="1"/>
                <w:color w:val="auto"/>
                <w:w w:val="90"/>
                <w:vertAlign w:val="superscript"/>
              </w:rPr>
              <w:t>(1),(5),(6),(11)</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Acquisition</w:t>
            </w:r>
          </w:p>
        </w:tc>
        <w:tc>
          <w:tcPr>
            <w:tcW w:w="1020" w:type="dxa"/>
            <w:vAlign w:val="bottom"/>
          </w:tcPr>
          <w:p>
            <w:pPr>
              <w:jc w:val="right"/>
              <w:ind w:right="168"/>
              <w:spacing w:after="0"/>
              <w:rPr>
                <w:sz w:val="20"/>
                <w:szCs w:val="20"/>
                <w:color w:val="auto"/>
              </w:rPr>
            </w:pPr>
            <w:r>
              <w:rPr>
                <w:rFonts w:ascii="Arial" w:cs="Arial" w:eastAsia="Arial" w:hAnsi="Arial"/>
                <w:sz w:val="14"/>
                <w:szCs w:val="14"/>
                <w:b w:val="1"/>
                <w:bCs w:val="1"/>
                <w:color w:val="auto"/>
              </w:rPr>
              <w:t>Principal/</w:t>
            </w:r>
          </w:p>
        </w:tc>
        <w:tc>
          <w:tcPr>
            <w:tcW w:w="100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1"/>
                <w:szCs w:val="21"/>
                <w:b w:val="1"/>
                <w:bCs w:val="1"/>
                <w:color w:val="auto"/>
                <w:vertAlign w:val="superscript"/>
              </w:rPr>
              <w:t>(2)</w:t>
            </w:r>
          </w:p>
        </w:tc>
        <w:tc>
          <w:tcPr>
            <w:tcW w:w="540" w:type="dxa"/>
            <w:vAlign w:val="bottom"/>
          </w:tcPr>
          <w:p>
            <w:pPr>
              <w:jc w:val="right"/>
              <w:ind w:right="10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2"/>
        </w:trPr>
        <w:tc>
          <w:tcPr>
            <w:tcW w:w="1320" w:type="dxa"/>
            <w:vAlign w:val="bottom"/>
          </w:tcPr>
          <w:p>
            <w:pPr>
              <w:spacing w:after="0"/>
              <w:rPr>
                <w:sz w:val="20"/>
                <w:szCs w:val="20"/>
                <w:color w:val="auto"/>
              </w:rPr>
            </w:pPr>
            <w:r>
              <w:rPr>
                <w:rFonts w:ascii="Arial" w:cs="Arial" w:eastAsia="Arial" w:hAnsi="Arial"/>
                <w:sz w:val="14"/>
                <w:szCs w:val="14"/>
                <w:b w:val="1"/>
                <w:bCs w:val="1"/>
                <w:color w:val="auto"/>
                <w:w w:val="93"/>
              </w:rPr>
              <w:t>Portfolio Companies</w:t>
            </w:r>
          </w:p>
        </w:tc>
        <w:tc>
          <w:tcPr>
            <w:tcW w:w="1500" w:type="dxa"/>
            <w:vAlign w:val="bottom"/>
          </w:tcPr>
          <w:p>
            <w:pPr>
              <w:ind w:left="320"/>
              <w:spacing w:after="0"/>
              <w:rPr>
                <w:sz w:val="20"/>
                <w:szCs w:val="20"/>
                <w:color w:val="auto"/>
              </w:rPr>
            </w:pPr>
            <w:r>
              <w:rPr>
                <w:rFonts w:ascii="Arial" w:cs="Arial" w:eastAsia="Arial" w:hAnsi="Arial"/>
                <w:sz w:val="14"/>
                <w:szCs w:val="14"/>
                <w:b w:val="1"/>
                <w:bCs w:val="1"/>
                <w:color w:val="auto"/>
              </w:rPr>
              <w:t>Sub-Industry</w:t>
            </w:r>
          </w:p>
        </w:tc>
        <w:tc>
          <w:tcPr>
            <w:tcW w:w="2380" w:type="dxa"/>
            <w:vAlign w:val="bottom"/>
            <w:gridSpan w:val="2"/>
            <w:vMerge w:val="continue"/>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000" w:type="dxa"/>
            <w:vAlign w:val="bottom"/>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40" w:type="dxa"/>
            <w:vAlign w:val="bottom"/>
            <w:vMerge w:val="continue"/>
          </w:tcPr>
          <w:p>
            <w:pPr>
              <w:spacing w:after="0"/>
              <w:rPr>
                <w:sz w:val="18"/>
                <w:szCs w:val="18"/>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w w:val="95"/>
              </w:rPr>
              <w:t>Assets</w:t>
            </w:r>
          </w:p>
        </w:tc>
        <w:tc>
          <w:tcPr>
            <w:tcW w:w="0" w:type="dxa"/>
            <w:vAlign w:val="bottom"/>
          </w:tcPr>
          <w:p>
            <w:pPr>
              <w:spacing w:after="0"/>
              <w:rPr>
                <w:sz w:val="1"/>
                <w:szCs w:val="1"/>
                <w:color w:val="auto"/>
              </w:rPr>
            </w:pPr>
          </w:p>
        </w:tc>
      </w:tr>
      <w:tr>
        <w:trPr>
          <w:trHeight w:val="20"/>
        </w:trPr>
        <w:tc>
          <w:tcPr>
            <w:tcW w:w="1320" w:type="dxa"/>
            <w:vAlign w:val="bottom"/>
            <w:tcBorders>
              <w:right w:val="single" w:sz="8" w:color="CCEEFF"/>
            </w:tcBorders>
            <w:shd w:val="clear" w:color="auto" w:fill="000000"/>
          </w:tcPr>
          <w:p>
            <w:pPr>
              <w:spacing w:after="0" w:line="20" w:lineRule="exact"/>
              <w:rPr>
                <w:sz w:val="1"/>
                <w:szCs w:val="1"/>
                <w:color w:val="auto"/>
              </w:rPr>
            </w:pPr>
          </w:p>
        </w:tc>
        <w:tc>
          <w:tcPr>
            <w:tcW w:w="15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160" w:type="dxa"/>
            <w:vAlign w:val="bottom"/>
            <w:tcBorders>
              <w:right w:val="single" w:sz="8" w:color="CCEEFF"/>
            </w:tcBorders>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Non-control/non-affiliate investments (continued)</w:t>
            </w:r>
          </w:p>
        </w:tc>
        <w:tc>
          <w:tcPr>
            <w:tcW w:w="920" w:type="dxa"/>
            <w:vAlign w:val="bottom"/>
            <w:tcBorders>
              <w:right w:val="single" w:sz="8" w:color="CCEEFF"/>
            </w:tcBorders>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320" w:type="dxa"/>
            <w:vAlign w:val="bottom"/>
            <w:tcBorders>
              <w:top w:val="single" w:sz="8" w:color="auto"/>
              <w:right w:val="single" w:sz="8" w:color="CCEEFF"/>
            </w:tcBorders>
            <w:shd w:val="clear" w:color="auto" w:fill="CCEEFF"/>
          </w:tcPr>
          <w:p>
            <w:pPr>
              <w:spacing w:after="0"/>
              <w:rPr>
                <w:sz w:val="5"/>
                <w:szCs w:val="5"/>
                <w:color w:val="auto"/>
              </w:rPr>
            </w:pPr>
          </w:p>
        </w:tc>
        <w:tc>
          <w:tcPr>
            <w:tcW w:w="150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160" w:type="dxa"/>
            <w:vAlign w:val="bottom"/>
            <w:tcBorders>
              <w:top w:val="single" w:sz="8" w:color="CCEEFF"/>
              <w:right w:val="single" w:sz="8" w:color="CCEEFF"/>
            </w:tcBorders>
            <w:shd w:val="clear" w:color="auto" w:fill="CCEEFF"/>
          </w:tcPr>
          <w:p>
            <w:pPr>
              <w:spacing w:after="0"/>
              <w:rPr>
                <w:sz w:val="5"/>
                <w:szCs w:val="5"/>
                <w:color w:val="auto"/>
              </w:rPr>
            </w:pPr>
          </w:p>
        </w:tc>
        <w:tc>
          <w:tcPr>
            <w:tcW w:w="920" w:type="dxa"/>
            <w:vAlign w:val="bottom"/>
            <w:tcBorders>
              <w:top w:val="single" w:sz="8" w:color="CCEEFF"/>
              <w:right w:val="single" w:sz="8" w:color="CCEEFF"/>
            </w:tcBorders>
            <w:shd w:val="clear" w:color="auto" w:fill="CCEEFF"/>
          </w:tcPr>
          <w:p>
            <w:pPr>
              <w:spacing w:after="0"/>
              <w:rPr>
                <w:sz w:val="5"/>
                <w:szCs w:val="5"/>
                <w:color w:val="auto"/>
              </w:rPr>
            </w:pPr>
          </w:p>
        </w:tc>
        <w:tc>
          <w:tcPr>
            <w:tcW w:w="1020" w:type="dxa"/>
            <w:vAlign w:val="bottom"/>
            <w:tcBorders>
              <w:top w:val="single" w:sz="8" w:color="CCEEFF"/>
              <w:right w:val="single" w:sz="8" w:color="CCEEFF"/>
            </w:tcBorders>
            <w:shd w:val="clear" w:color="auto" w:fill="CCEEFF"/>
          </w:tcPr>
          <w:p>
            <w:pPr>
              <w:spacing w:after="0"/>
              <w:rPr>
                <w:sz w:val="5"/>
                <w:szCs w:val="5"/>
                <w:color w:val="auto"/>
              </w:rPr>
            </w:pPr>
          </w:p>
        </w:tc>
        <w:tc>
          <w:tcPr>
            <w:tcW w:w="1000" w:type="dxa"/>
            <w:vAlign w:val="bottom"/>
            <w:tcBorders>
              <w:top w:val="single" w:sz="8" w:color="CCEEFF"/>
              <w:right w:val="single" w:sz="8" w:color="CCEEFF"/>
            </w:tcBorders>
            <w:shd w:val="clear" w:color="auto" w:fill="CCEEFF"/>
          </w:tcPr>
          <w:p>
            <w:pPr>
              <w:spacing w:after="0"/>
              <w:rPr>
                <w:sz w:val="5"/>
                <w:szCs w:val="5"/>
                <w:color w:val="auto"/>
              </w:rPr>
            </w:pPr>
          </w:p>
        </w:tc>
        <w:tc>
          <w:tcPr>
            <w:tcW w:w="1040" w:type="dxa"/>
            <w:vAlign w:val="bottom"/>
            <w:tcBorders>
              <w:top w:val="single" w:sz="8" w:color="CCEEFF"/>
              <w:right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Warrants</w:t>
            </w:r>
            <w:r>
              <w:rPr>
                <w:rFonts w:ascii="Arial" w:cs="Arial" w:eastAsia="Arial" w:hAnsi="Arial"/>
                <w:sz w:val="21"/>
                <w:szCs w:val="21"/>
                <w:b w:val="1"/>
                <w:bCs w:val="1"/>
                <w:color w:val="auto"/>
                <w:vertAlign w:val="superscript"/>
              </w:rPr>
              <w:t>(8)</w:t>
            </w:r>
            <w:r>
              <w:rPr>
                <w:rFonts w:ascii="Arial" w:cs="Arial" w:eastAsia="Arial" w:hAnsi="Arial"/>
                <w:sz w:val="14"/>
                <w:szCs w:val="14"/>
                <w:b w:val="1"/>
                <w:bCs w:val="1"/>
                <w:color w:val="auto"/>
              </w:rPr>
              <w:t xml:space="preserve"> (continued)</w:t>
            </w:r>
          </w:p>
        </w:tc>
        <w:tc>
          <w:tcPr>
            <w:tcW w:w="2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Massdrop Inc.</w:t>
            </w:r>
          </w:p>
        </w:tc>
        <w:tc>
          <w:tcPr>
            <w:tcW w:w="1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w w:val="99"/>
              </w:rPr>
              <w:t>Computer &amp; Electronics</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Warrant for B Series Preferred Stock,</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7/22/2019</w:t>
            </w:r>
          </w:p>
        </w:tc>
        <w:tc>
          <w:tcPr>
            <w:tcW w:w="10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  848,093</w:t>
            </w:r>
          </w:p>
        </w:tc>
        <w:tc>
          <w:tcPr>
            <w:tcW w:w="10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  183,188</w:t>
            </w:r>
          </w:p>
        </w:tc>
        <w:tc>
          <w:tcPr>
            <w:tcW w:w="104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  190,821</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8"/>
        </w:trPr>
        <w:tc>
          <w:tcPr>
            <w:tcW w:w="1320" w:type="dxa"/>
            <w:vAlign w:val="bottom"/>
            <w:tcBorders>
              <w:right w:val="single" w:sz="8" w:color="CCEEFF"/>
            </w:tcBorders>
            <w:shd w:val="clear" w:color="auto" w:fill="CCEEFF"/>
          </w:tcPr>
          <w:p>
            <w:pPr>
              <w:spacing w:after="0"/>
              <w:rPr>
                <w:sz w:val="12"/>
                <w:szCs w:val="12"/>
                <w:color w:val="auto"/>
              </w:rPr>
            </w:pPr>
          </w:p>
        </w:tc>
        <w:tc>
          <w:tcPr>
            <w:tcW w:w="15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238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exercise price $1.1938/share, expires</w:t>
            </w:r>
          </w:p>
        </w:tc>
        <w:tc>
          <w:tcPr>
            <w:tcW w:w="92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320" w:type="dxa"/>
            <w:vAlign w:val="bottom"/>
            <w:tcBorders>
              <w:bottom w:val="single" w:sz="8" w:color="CCEEFF"/>
              <w:right w:val="single" w:sz="8" w:color="CCEEFF"/>
            </w:tcBorders>
            <w:shd w:val="clear" w:color="auto" w:fill="CCEEFF"/>
          </w:tcPr>
          <w:p>
            <w:pPr>
              <w:spacing w:after="0"/>
              <w:rPr>
                <w:sz w:val="18"/>
                <w:szCs w:val="18"/>
                <w:color w:val="auto"/>
              </w:rPr>
            </w:pPr>
          </w:p>
        </w:tc>
        <w:tc>
          <w:tcPr>
            <w:tcW w:w="1500" w:type="dxa"/>
            <w:vAlign w:val="bottom"/>
            <w:tcBorders>
              <w:bottom w:val="single" w:sz="8" w:color="CCEEFF"/>
              <w:right w:val="single" w:sz="8" w:color="CCEEFF"/>
            </w:tcBorders>
            <w:shd w:val="clear" w:color="auto" w:fill="CCEEFF"/>
          </w:tcPr>
          <w:p>
            <w:pPr>
              <w:spacing w:after="0"/>
              <w:rPr>
                <w:sz w:val="18"/>
                <w:szCs w:val="18"/>
                <w:color w:val="auto"/>
              </w:rPr>
            </w:pPr>
          </w:p>
        </w:tc>
        <w:tc>
          <w:tcPr>
            <w:tcW w:w="238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7/22/2019</w:t>
            </w: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40"/>
              <w:spacing w:after="0"/>
              <w:rPr>
                <w:sz w:val="20"/>
                <w:szCs w:val="20"/>
                <w:color w:val="auto"/>
              </w:rPr>
            </w:pPr>
            <w:r>
              <w:rPr>
                <w:rFonts w:ascii="Arial" w:cs="Arial" w:eastAsia="Arial" w:hAnsi="Arial"/>
                <w:sz w:val="14"/>
                <w:szCs w:val="14"/>
                <w:color w:val="auto"/>
              </w:rPr>
              <w:t>MingleHealth</w:t>
            </w:r>
          </w:p>
        </w:tc>
        <w:tc>
          <w:tcPr>
            <w:tcW w:w="1500" w:type="dxa"/>
            <w:vAlign w:val="bottom"/>
          </w:tcPr>
          <w:p>
            <w:pPr>
              <w:spacing w:after="0"/>
              <w:rPr>
                <w:sz w:val="20"/>
                <w:szCs w:val="20"/>
                <w:color w:val="auto"/>
              </w:rPr>
            </w:pPr>
            <w:r>
              <w:rPr>
                <w:rFonts w:ascii="Arial" w:cs="Arial" w:eastAsia="Arial" w:hAnsi="Arial"/>
                <w:sz w:val="14"/>
                <w:szCs w:val="14"/>
                <w:color w:val="auto"/>
              </w:rPr>
              <w:t>Healthcare Technology</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w w:val="96"/>
              </w:rPr>
              <w:t>Warrant for Series AA Preferred Stock,</w:t>
            </w: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8/15/2018</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1,625,000</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492,375</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320" w:type="dxa"/>
            <w:vAlign w:val="bottom"/>
          </w:tcPr>
          <w:p>
            <w:pPr>
              <w:ind w:left="280"/>
              <w:spacing w:after="0" w:line="149" w:lineRule="exact"/>
              <w:rPr>
                <w:sz w:val="20"/>
                <w:szCs w:val="20"/>
                <w:color w:val="auto"/>
              </w:rPr>
            </w:pPr>
            <w:r>
              <w:rPr>
                <w:rFonts w:ascii="Arial" w:cs="Arial" w:eastAsia="Arial" w:hAnsi="Arial"/>
                <w:sz w:val="14"/>
                <w:szCs w:val="14"/>
                <w:color w:val="auto"/>
              </w:rPr>
              <w:t>Care Solutions,</w:t>
            </w:r>
          </w:p>
        </w:tc>
        <w:tc>
          <w:tcPr>
            <w:tcW w:w="1500" w:type="dxa"/>
            <w:vAlign w:val="bottom"/>
          </w:tcPr>
          <w:p>
            <w:pPr>
              <w:spacing w:after="0"/>
              <w:rPr>
                <w:sz w:val="12"/>
                <w:szCs w:val="12"/>
                <w:color w:val="auto"/>
              </w:rPr>
            </w:pPr>
          </w:p>
        </w:tc>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exercise price $0.24/share, expires</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ind w:left="280"/>
              <w:spacing w:after="0"/>
              <w:rPr>
                <w:sz w:val="20"/>
                <w:szCs w:val="20"/>
                <w:color w:val="auto"/>
              </w:rPr>
            </w:pPr>
            <w:r>
              <w:rPr>
                <w:rFonts w:ascii="Arial" w:cs="Arial" w:eastAsia="Arial" w:hAnsi="Arial"/>
                <w:sz w:val="14"/>
                <w:szCs w:val="14"/>
                <w:color w:val="auto"/>
              </w:rPr>
              <w:t>Inc.</w:t>
            </w:r>
          </w:p>
        </w:tc>
        <w:tc>
          <w:tcPr>
            <w:tcW w:w="150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8/15/2028</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Mojix, Inc.</w:t>
            </w:r>
          </w:p>
        </w:tc>
        <w:tc>
          <w:tcPr>
            <w:tcW w:w="1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Application Software</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Warrant for Common Stock exercise</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5/16/2017</w:t>
            </w:r>
          </w:p>
        </w:tc>
        <w:tc>
          <w:tcPr>
            <w:tcW w:w="10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164,427</w:t>
            </w:r>
          </w:p>
        </w:tc>
        <w:tc>
          <w:tcPr>
            <w:tcW w:w="10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417,645</w:t>
            </w:r>
          </w:p>
        </w:tc>
        <w:tc>
          <w:tcPr>
            <w:tcW w:w="104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1320" w:type="dxa"/>
            <w:vAlign w:val="bottom"/>
            <w:tcBorders>
              <w:bottom w:val="single" w:sz="8" w:color="CCEEFF"/>
              <w:right w:val="single" w:sz="8" w:color="CCEEFF"/>
            </w:tcBorders>
            <w:shd w:val="clear" w:color="auto" w:fill="CCEEFF"/>
          </w:tcPr>
          <w:p>
            <w:pPr>
              <w:spacing w:after="0"/>
              <w:rPr>
                <w:sz w:val="18"/>
                <w:szCs w:val="18"/>
                <w:color w:val="auto"/>
              </w:rPr>
            </w:pPr>
          </w:p>
        </w:tc>
        <w:tc>
          <w:tcPr>
            <w:tcW w:w="1500" w:type="dxa"/>
            <w:vAlign w:val="bottom"/>
            <w:tcBorders>
              <w:bottom w:val="single" w:sz="8" w:color="CCEEFF"/>
              <w:right w:val="single" w:sz="8" w:color="CCEEFF"/>
            </w:tcBorders>
            <w:shd w:val="clear" w:color="auto" w:fill="CCEEFF"/>
          </w:tcPr>
          <w:p>
            <w:pPr>
              <w:spacing w:after="0"/>
              <w:rPr>
                <w:sz w:val="18"/>
                <w:szCs w:val="18"/>
                <w:color w:val="auto"/>
              </w:rPr>
            </w:pPr>
          </w:p>
        </w:tc>
        <w:tc>
          <w:tcPr>
            <w:tcW w:w="238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8"/>
              </w:rPr>
              <w:t>price $10.64/share, expires 5/16/2027</w:t>
            </w: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Warrant for Series 1 Preferred Stock,</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12/20/2018</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7,176,973</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806,991</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exercise price $0.28/share, expires</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12/20/2028</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spacing w:after="0"/>
              <w:rPr>
                <w:sz w:val="14"/>
                <w:szCs w:val="14"/>
                <w:color w:val="auto"/>
              </w:rPr>
            </w:pPr>
          </w:p>
        </w:tc>
        <w:tc>
          <w:tcPr>
            <w:tcW w:w="1500" w:type="dxa"/>
            <w:vAlign w:val="bottom"/>
            <w:tcBorders>
              <w:right w:val="single" w:sz="8" w:color="CCEEFF"/>
            </w:tcBorders>
            <w:shd w:val="clear" w:color="auto" w:fill="CCEEFF"/>
          </w:tcPr>
          <w:p>
            <w:pPr>
              <w:spacing w:after="0"/>
              <w:rPr>
                <w:sz w:val="14"/>
                <w:szCs w:val="14"/>
                <w:color w:val="auto"/>
              </w:rPr>
            </w:pP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Warrant for Series 1 Preferred Stock</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5/30/2019</w:t>
            </w:r>
          </w:p>
        </w:tc>
        <w:tc>
          <w:tcPr>
            <w:tcW w:w="10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358,849</w:t>
            </w:r>
          </w:p>
        </w:tc>
        <w:tc>
          <w:tcPr>
            <w:tcW w:w="10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21,531</w:t>
            </w:r>
          </w:p>
        </w:tc>
        <w:tc>
          <w:tcPr>
            <w:tcW w:w="104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320" w:type="dxa"/>
            <w:vAlign w:val="bottom"/>
            <w:tcBorders>
              <w:right w:val="single" w:sz="8" w:color="CCEEFF"/>
            </w:tcBorders>
            <w:shd w:val="clear" w:color="auto" w:fill="CCEEFF"/>
          </w:tcPr>
          <w:p>
            <w:pPr>
              <w:spacing w:after="0"/>
              <w:rPr>
                <w:sz w:val="12"/>
                <w:szCs w:val="12"/>
                <w:color w:val="auto"/>
              </w:rPr>
            </w:pPr>
          </w:p>
        </w:tc>
        <w:tc>
          <w:tcPr>
            <w:tcW w:w="1500" w:type="dxa"/>
            <w:vAlign w:val="bottom"/>
            <w:tcBorders>
              <w:right w:val="single" w:sz="8" w:color="CCEEFF"/>
            </w:tcBorders>
            <w:shd w:val="clear" w:color="auto" w:fill="CCEEFF"/>
          </w:tcPr>
          <w:p>
            <w:pPr>
              <w:spacing w:after="0"/>
              <w:rPr>
                <w:sz w:val="12"/>
                <w:szCs w:val="12"/>
                <w:color w:val="auto"/>
              </w:rPr>
            </w:pPr>
          </w:p>
        </w:tc>
        <w:tc>
          <w:tcPr>
            <w:tcW w:w="238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exercise price $0.28/share, expires</w:t>
            </w:r>
          </w:p>
        </w:tc>
        <w:tc>
          <w:tcPr>
            <w:tcW w:w="92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320" w:type="dxa"/>
            <w:vAlign w:val="bottom"/>
            <w:tcBorders>
              <w:bottom w:val="single" w:sz="8" w:color="CCEEFF"/>
              <w:right w:val="single" w:sz="8" w:color="CCEEFF"/>
            </w:tcBorders>
            <w:shd w:val="clear" w:color="auto" w:fill="CCEEFF"/>
          </w:tcPr>
          <w:p>
            <w:pPr>
              <w:spacing w:after="0"/>
              <w:rPr>
                <w:sz w:val="18"/>
                <w:szCs w:val="18"/>
                <w:color w:val="auto"/>
              </w:rPr>
            </w:pPr>
          </w:p>
        </w:tc>
        <w:tc>
          <w:tcPr>
            <w:tcW w:w="1500" w:type="dxa"/>
            <w:vAlign w:val="bottom"/>
            <w:tcBorders>
              <w:bottom w:val="single" w:sz="8" w:color="CCEEFF"/>
              <w:right w:val="single" w:sz="8" w:color="CCEEFF"/>
            </w:tcBorders>
            <w:shd w:val="clear" w:color="auto" w:fill="CCEEFF"/>
          </w:tcPr>
          <w:p>
            <w:pPr>
              <w:spacing w:after="0"/>
              <w:rPr>
                <w:sz w:val="18"/>
                <w:szCs w:val="18"/>
                <w:color w:val="auto"/>
              </w:rPr>
            </w:pPr>
          </w:p>
        </w:tc>
        <w:tc>
          <w:tcPr>
            <w:tcW w:w="238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5/30/2029</w:t>
            </w: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Warrant for Series 1 Preferred Stock</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12/17/2029</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358,849</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exercise price $0.28/share, expires</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12/17/2029</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3DNA Corp.(dba</w:t>
            </w:r>
          </w:p>
        </w:tc>
        <w:tc>
          <w:tcPr>
            <w:tcW w:w="1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Application Software</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4"/>
              </w:rPr>
              <w:t>Warrant for Series C-1 Preferred Stock,</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12/28/2018</w:t>
            </w:r>
          </w:p>
        </w:tc>
        <w:tc>
          <w:tcPr>
            <w:tcW w:w="10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273,164</w:t>
            </w:r>
          </w:p>
        </w:tc>
        <w:tc>
          <w:tcPr>
            <w:tcW w:w="10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104,138</w:t>
            </w:r>
          </w:p>
        </w:tc>
        <w:tc>
          <w:tcPr>
            <w:tcW w:w="104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87,959</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8"/>
        </w:trPr>
        <w:tc>
          <w:tcPr>
            <w:tcW w:w="132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NationBuilder)</w:t>
            </w:r>
          </w:p>
        </w:tc>
        <w:tc>
          <w:tcPr>
            <w:tcW w:w="1500" w:type="dxa"/>
            <w:vAlign w:val="bottom"/>
            <w:tcBorders>
              <w:right w:val="single" w:sz="8" w:color="CCEEFF"/>
            </w:tcBorders>
            <w:shd w:val="clear" w:color="auto" w:fill="CCEEFF"/>
          </w:tcPr>
          <w:p>
            <w:pPr>
              <w:spacing w:after="0"/>
              <w:rPr>
                <w:sz w:val="12"/>
                <w:szCs w:val="12"/>
                <w:color w:val="auto"/>
              </w:rPr>
            </w:pPr>
          </w:p>
        </w:tc>
        <w:tc>
          <w:tcPr>
            <w:tcW w:w="238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exercise price $1.4643/share, expires</w:t>
            </w:r>
          </w:p>
        </w:tc>
        <w:tc>
          <w:tcPr>
            <w:tcW w:w="92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320" w:type="dxa"/>
            <w:vAlign w:val="bottom"/>
            <w:tcBorders>
              <w:bottom w:val="single" w:sz="8" w:color="CCEEFF"/>
              <w:right w:val="single" w:sz="8" w:color="CCEEFF"/>
            </w:tcBorders>
            <w:shd w:val="clear" w:color="auto" w:fill="CCEEFF"/>
          </w:tcPr>
          <w:p>
            <w:pPr>
              <w:spacing w:after="0"/>
              <w:rPr>
                <w:sz w:val="18"/>
                <w:szCs w:val="18"/>
                <w:color w:val="auto"/>
              </w:rPr>
            </w:pPr>
          </w:p>
        </w:tc>
        <w:tc>
          <w:tcPr>
            <w:tcW w:w="1500" w:type="dxa"/>
            <w:vAlign w:val="bottom"/>
            <w:tcBorders>
              <w:bottom w:val="single" w:sz="8" w:color="CCEEFF"/>
              <w:right w:val="single" w:sz="8" w:color="CCEEFF"/>
            </w:tcBorders>
            <w:shd w:val="clear" w:color="auto" w:fill="CCEEFF"/>
          </w:tcPr>
          <w:p>
            <w:pPr>
              <w:spacing w:after="0"/>
              <w:rPr>
                <w:sz w:val="18"/>
                <w:szCs w:val="18"/>
                <w:color w:val="auto"/>
              </w:rPr>
            </w:pPr>
          </w:p>
        </w:tc>
        <w:tc>
          <w:tcPr>
            <w:tcW w:w="238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12/28/2028</w:t>
            </w: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40"/>
              <w:spacing w:after="0"/>
              <w:rPr>
                <w:sz w:val="20"/>
                <w:szCs w:val="20"/>
                <w:color w:val="auto"/>
              </w:rPr>
            </w:pPr>
            <w:r>
              <w:rPr>
                <w:rFonts w:ascii="Arial" w:cs="Arial" w:eastAsia="Arial" w:hAnsi="Arial"/>
                <w:sz w:val="14"/>
                <w:szCs w:val="14"/>
                <w:color w:val="auto"/>
              </w:rPr>
              <w:t>Ouster, Inc.</w:t>
            </w:r>
          </w:p>
        </w:tc>
        <w:tc>
          <w:tcPr>
            <w:tcW w:w="1500" w:type="dxa"/>
            <w:vAlign w:val="bottom"/>
          </w:tcPr>
          <w:p>
            <w:pPr>
              <w:spacing w:after="0"/>
              <w:rPr>
                <w:sz w:val="20"/>
                <w:szCs w:val="20"/>
                <w:color w:val="auto"/>
              </w:rPr>
            </w:pPr>
            <w:r>
              <w:rPr>
                <w:rFonts w:ascii="Arial" w:cs="Arial" w:eastAsia="Arial" w:hAnsi="Arial"/>
                <w:sz w:val="14"/>
                <w:szCs w:val="14"/>
                <w:color w:val="auto"/>
              </w:rPr>
              <w:t>Technology Hardware,</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Warrant for Series A Preferred Stock,</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11/27/2018</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.53,023</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103,010</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134,837</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color w:val="auto"/>
              </w:rPr>
              <w:t>Storage &amp; Peripherals</w:t>
            </w:r>
          </w:p>
        </w:tc>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6"/>
              </w:rPr>
              <w:t>exercise price $11.3158/share, expires</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11/27/2028</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Pivot3, Inc.</w:t>
            </w:r>
          </w:p>
        </w:tc>
        <w:tc>
          <w:tcPr>
            <w:tcW w:w="1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Data Processing &amp;</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9"/>
              </w:rPr>
              <w:t>Warrant for Series D Preferred Stock,</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5/13/2029</w:t>
            </w:r>
          </w:p>
        </w:tc>
        <w:tc>
          <w:tcPr>
            <w:tcW w:w="10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2,033,898</w:t>
            </w:r>
          </w:p>
        </w:tc>
        <w:tc>
          <w:tcPr>
            <w:tcW w:w="10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216,610</w:t>
            </w:r>
          </w:p>
        </w:tc>
        <w:tc>
          <w:tcPr>
            <w:tcW w:w="104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141,966</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49"/>
        </w:trPr>
        <w:tc>
          <w:tcPr>
            <w:tcW w:w="1320" w:type="dxa"/>
            <w:vAlign w:val="bottom"/>
            <w:tcBorders>
              <w:right w:val="single" w:sz="8" w:color="CCEEFF"/>
            </w:tcBorders>
            <w:shd w:val="clear" w:color="auto" w:fill="CCEEFF"/>
          </w:tcPr>
          <w:p>
            <w:pPr>
              <w:spacing w:after="0"/>
              <w:rPr>
                <w:sz w:val="12"/>
                <w:szCs w:val="12"/>
                <w:color w:val="auto"/>
              </w:rPr>
            </w:pPr>
          </w:p>
        </w:tc>
        <w:tc>
          <w:tcPr>
            <w:tcW w:w="15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Outsourced Services</w:t>
            </w:r>
          </w:p>
        </w:tc>
        <w:tc>
          <w:tcPr>
            <w:tcW w:w="238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exercise price $0.59/share, expires</w:t>
            </w:r>
          </w:p>
        </w:tc>
        <w:tc>
          <w:tcPr>
            <w:tcW w:w="92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320" w:type="dxa"/>
            <w:vAlign w:val="bottom"/>
            <w:tcBorders>
              <w:bottom w:val="single" w:sz="8" w:color="CCEEFF"/>
              <w:right w:val="single" w:sz="8" w:color="CCEEFF"/>
            </w:tcBorders>
            <w:shd w:val="clear" w:color="auto" w:fill="CCEEFF"/>
          </w:tcPr>
          <w:p>
            <w:pPr>
              <w:spacing w:after="0"/>
              <w:rPr>
                <w:sz w:val="18"/>
                <w:szCs w:val="18"/>
                <w:color w:val="auto"/>
              </w:rPr>
            </w:pPr>
          </w:p>
        </w:tc>
        <w:tc>
          <w:tcPr>
            <w:tcW w:w="1500" w:type="dxa"/>
            <w:vAlign w:val="bottom"/>
            <w:tcBorders>
              <w:bottom w:val="single" w:sz="8" w:color="CCEEFF"/>
              <w:right w:val="single" w:sz="8" w:color="CCEEFF"/>
            </w:tcBorders>
            <w:shd w:val="clear" w:color="auto" w:fill="CCEEFF"/>
          </w:tcPr>
          <w:p>
            <w:pPr>
              <w:spacing w:after="0"/>
              <w:rPr>
                <w:sz w:val="18"/>
                <w:szCs w:val="18"/>
                <w:color w:val="auto"/>
              </w:rPr>
            </w:pPr>
          </w:p>
        </w:tc>
        <w:tc>
          <w:tcPr>
            <w:tcW w:w="238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5/13/2029</w:t>
            </w: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40"/>
              <w:spacing w:after="0"/>
              <w:rPr>
                <w:sz w:val="20"/>
                <w:szCs w:val="20"/>
                <w:color w:val="auto"/>
              </w:rPr>
            </w:pPr>
            <w:r>
              <w:rPr>
                <w:rFonts w:ascii="Arial" w:cs="Arial" w:eastAsia="Arial" w:hAnsi="Arial"/>
                <w:sz w:val="14"/>
                <w:szCs w:val="14"/>
                <w:color w:val="auto"/>
              </w:rPr>
              <w:t>RealWear, Inc.</w:t>
            </w:r>
          </w:p>
        </w:tc>
        <w:tc>
          <w:tcPr>
            <w:tcW w:w="1500" w:type="dxa"/>
            <w:vAlign w:val="bottom"/>
          </w:tcPr>
          <w:p>
            <w:pPr>
              <w:spacing w:after="0"/>
              <w:rPr>
                <w:sz w:val="20"/>
                <w:szCs w:val="20"/>
                <w:color w:val="auto"/>
              </w:rPr>
            </w:pPr>
            <w:r>
              <w:rPr>
                <w:rFonts w:ascii="Arial" w:cs="Arial" w:eastAsia="Arial" w:hAnsi="Arial"/>
                <w:sz w:val="14"/>
                <w:szCs w:val="14"/>
                <w:color w:val="auto"/>
              </w:rPr>
              <w:t>Technology Hardware,</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Warrant for Series A Preferred Stock,</w:t>
            </w: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10/5/2018</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112,451</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135,841</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393,129</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color w:val="auto"/>
              </w:rPr>
              <w:t>Storage &amp; Peripherals</w:t>
            </w:r>
          </w:p>
        </w:tc>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9"/>
              </w:rPr>
              <w:t>exercise price $4.4464/share, expires</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10/5/2028</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3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spacing w:after="0"/>
              <w:rPr>
                <w:sz w:val="14"/>
                <w:szCs w:val="14"/>
                <w:color w:val="auto"/>
              </w:rPr>
            </w:pPr>
          </w:p>
        </w:tc>
        <w:tc>
          <w:tcPr>
            <w:tcW w:w="1500" w:type="dxa"/>
            <w:vAlign w:val="bottom"/>
            <w:tcBorders>
              <w:right w:val="single" w:sz="8" w:color="CCEEFF"/>
            </w:tcBorders>
            <w:shd w:val="clear" w:color="auto" w:fill="CCEEFF"/>
          </w:tcPr>
          <w:p>
            <w:pPr>
              <w:spacing w:after="0"/>
              <w:rPr>
                <w:sz w:val="14"/>
                <w:szCs w:val="14"/>
                <w:color w:val="auto"/>
              </w:rPr>
            </w:pP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Warrant for Series A Preferred Stock,</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12/28/2018</w:t>
            </w:r>
          </w:p>
        </w:tc>
        <w:tc>
          <w:tcPr>
            <w:tcW w:w="10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22,491</w:t>
            </w:r>
          </w:p>
        </w:tc>
        <w:tc>
          <w:tcPr>
            <w:tcW w:w="10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25,248</w:t>
            </w:r>
          </w:p>
        </w:tc>
        <w:tc>
          <w:tcPr>
            <w:tcW w:w="104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78,628</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1320" w:type="dxa"/>
            <w:vAlign w:val="bottom"/>
            <w:tcBorders>
              <w:right w:val="single" w:sz="8" w:color="CCEEFF"/>
            </w:tcBorders>
            <w:shd w:val="clear" w:color="auto" w:fill="CCEEFF"/>
          </w:tcPr>
          <w:p>
            <w:pPr>
              <w:spacing w:after="0"/>
              <w:rPr>
                <w:sz w:val="12"/>
                <w:szCs w:val="12"/>
                <w:color w:val="auto"/>
              </w:rPr>
            </w:pPr>
          </w:p>
        </w:tc>
        <w:tc>
          <w:tcPr>
            <w:tcW w:w="1500" w:type="dxa"/>
            <w:vAlign w:val="bottom"/>
            <w:tcBorders>
              <w:right w:val="single" w:sz="8" w:color="CCEEFF"/>
            </w:tcBorders>
            <w:shd w:val="clear" w:color="auto" w:fill="CCEEFF"/>
          </w:tcPr>
          <w:p>
            <w:pPr>
              <w:spacing w:after="0"/>
              <w:rPr>
                <w:sz w:val="12"/>
                <w:szCs w:val="12"/>
                <w:color w:val="auto"/>
              </w:rPr>
            </w:pPr>
          </w:p>
        </w:tc>
        <w:tc>
          <w:tcPr>
            <w:tcW w:w="238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exercise price $4.4464/share, expires</w:t>
            </w:r>
          </w:p>
        </w:tc>
        <w:tc>
          <w:tcPr>
            <w:tcW w:w="92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Borders>
              <w:right w:val="single" w:sz="8" w:color="CCEEFF"/>
            </w:tcBorders>
            <w:shd w:val="clear" w:color="auto" w:fill="CCEEFF"/>
          </w:tcPr>
          <w:p>
            <w:pPr>
              <w:spacing w:after="0"/>
              <w:rPr>
                <w:sz w:val="15"/>
                <w:szCs w:val="15"/>
                <w:color w:val="auto"/>
              </w:rPr>
            </w:pPr>
          </w:p>
        </w:tc>
        <w:tc>
          <w:tcPr>
            <w:tcW w:w="1500" w:type="dxa"/>
            <w:vAlign w:val="bottom"/>
            <w:tcBorders>
              <w:right w:val="single" w:sz="8" w:color="CCEEFF"/>
            </w:tcBorders>
            <w:shd w:val="clear" w:color="auto" w:fill="CCEEFF"/>
          </w:tcPr>
          <w:p>
            <w:pPr>
              <w:spacing w:after="0"/>
              <w:rPr>
                <w:sz w:val="15"/>
                <w:szCs w:val="15"/>
                <w:color w:val="auto"/>
              </w:rPr>
            </w:pP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12/28/2028</w:t>
            </w:r>
          </w:p>
        </w:tc>
        <w:tc>
          <w:tcPr>
            <w:tcW w:w="920" w:type="dxa"/>
            <w:vAlign w:val="bottom"/>
            <w:tcBorders>
              <w:right w:val="single" w:sz="8" w:color="CCEEFF"/>
            </w:tcBorders>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320" w:type="dxa"/>
            <w:vAlign w:val="bottom"/>
            <w:tcBorders>
              <w:right w:val="single" w:sz="8" w:color="CCEEFF"/>
            </w:tcBorders>
            <w:shd w:val="clear" w:color="auto" w:fill="CCEEFF"/>
          </w:tcPr>
          <w:p>
            <w:pPr>
              <w:spacing w:after="0"/>
              <w:rPr>
                <w:sz w:val="5"/>
                <w:szCs w:val="5"/>
                <w:color w:val="auto"/>
              </w:rPr>
            </w:pPr>
          </w:p>
        </w:tc>
        <w:tc>
          <w:tcPr>
            <w:tcW w:w="1500" w:type="dxa"/>
            <w:vAlign w:val="bottom"/>
            <w:tcBorders>
              <w:right w:val="single" w:sz="8" w:color="CCEEFF"/>
            </w:tcBorders>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160" w:type="dxa"/>
            <w:vAlign w:val="bottom"/>
            <w:tcBorders>
              <w:right w:val="single" w:sz="8" w:color="CCEEFF"/>
            </w:tcBorders>
            <w:shd w:val="clear" w:color="auto" w:fill="CCEEFF"/>
          </w:tcPr>
          <w:p>
            <w:pPr>
              <w:spacing w:after="0"/>
              <w:rPr>
                <w:sz w:val="5"/>
                <w:szCs w:val="5"/>
                <w:color w:val="auto"/>
              </w:rPr>
            </w:pPr>
          </w:p>
        </w:tc>
        <w:tc>
          <w:tcPr>
            <w:tcW w:w="920" w:type="dxa"/>
            <w:vAlign w:val="bottom"/>
            <w:tcBorders>
              <w:right w:val="single" w:sz="8" w:color="CCEEFF"/>
            </w:tcBorders>
            <w:shd w:val="clear" w:color="auto" w:fill="CCEEFF"/>
          </w:tcPr>
          <w:p>
            <w:pPr>
              <w:spacing w:after="0"/>
              <w:rPr>
                <w:sz w:val="5"/>
                <w:szCs w:val="5"/>
                <w:color w:val="auto"/>
              </w:rPr>
            </w:pPr>
          </w:p>
        </w:tc>
        <w:tc>
          <w:tcPr>
            <w:tcW w:w="1020" w:type="dxa"/>
            <w:vAlign w:val="bottom"/>
            <w:tcBorders>
              <w:right w:val="single" w:sz="8" w:color="CCEEFF"/>
            </w:tcBorders>
            <w:shd w:val="clear" w:color="auto" w:fill="CCEEFF"/>
          </w:tcPr>
          <w:p>
            <w:pPr>
              <w:spacing w:after="0"/>
              <w:rPr>
                <w:sz w:val="5"/>
                <w:szCs w:val="5"/>
                <w:color w:val="auto"/>
              </w:rPr>
            </w:pPr>
          </w:p>
        </w:tc>
        <w:tc>
          <w:tcPr>
            <w:tcW w:w="1000" w:type="dxa"/>
            <w:vAlign w:val="bottom"/>
            <w:tcBorders>
              <w:right w:val="single" w:sz="8" w:color="CCEEFF"/>
            </w:tcBorders>
            <w:shd w:val="clear" w:color="auto" w:fill="CCEEFF"/>
          </w:tcPr>
          <w:p>
            <w:pPr>
              <w:spacing w:after="0"/>
              <w:rPr>
                <w:sz w:val="5"/>
                <w:szCs w:val="5"/>
                <w:color w:val="auto"/>
              </w:rPr>
            </w:pPr>
          </w:p>
        </w:tc>
        <w:tc>
          <w:tcPr>
            <w:tcW w:w="1040" w:type="dxa"/>
            <w:vAlign w:val="bottom"/>
            <w:tcBorders>
              <w:right w:val="single" w:sz="8" w:color="CCEEFF"/>
            </w:tcBorders>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Warrant Series A Preferred Stock,</w:t>
            </w: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6/27/2019</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123,894</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380,850</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336,372</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exercise price $6.78/share, expires</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6/27/2029</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3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Scale Computing,</w:t>
            </w:r>
          </w:p>
        </w:tc>
        <w:tc>
          <w:tcPr>
            <w:tcW w:w="1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System Software</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5"/>
              </w:rPr>
              <w:t>Warrant for Series F-1 Preferred Stock,</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3/29/2019</w:t>
            </w:r>
          </w:p>
        </w:tc>
        <w:tc>
          <w:tcPr>
            <w:tcW w:w="10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2,147,926</w:t>
            </w:r>
          </w:p>
        </w:tc>
        <w:tc>
          <w:tcPr>
            <w:tcW w:w="10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345,816</w:t>
            </w:r>
          </w:p>
        </w:tc>
        <w:tc>
          <w:tcPr>
            <w:tcW w:w="104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317,893</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48"/>
        </w:trPr>
        <w:tc>
          <w:tcPr>
            <w:tcW w:w="132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Inc.</w:t>
            </w:r>
          </w:p>
        </w:tc>
        <w:tc>
          <w:tcPr>
            <w:tcW w:w="1500" w:type="dxa"/>
            <w:vAlign w:val="bottom"/>
            <w:tcBorders>
              <w:right w:val="single" w:sz="8" w:color="CCEEFF"/>
            </w:tcBorders>
            <w:shd w:val="clear" w:color="auto" w:fill="CCEEFF"/>
          </w:tcPr>
          <w:p>
            <w:pPr>
              <w:spacing w:after="0"/>
              <w:rPr>
                <w:sz w:val="12"/>
                <w:szCs w:val="12"/>
                <w:color w:val="auto"/>
              </w:rPr>
            </w:pPr>
          </w:p>
        </w:tc>
        <w:tc>
          <w:tcPr>
            <w:tcW w:w="238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exercise price $0.8031/share, expires</w:t>
            </w:r>
          </w:p>
        </w:tc>
        <w:tc>
          <w:tcPr>
            <w:tcW w:w="92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Borders>
              <w:right w:val="single" w:sz="8" w:color="CCEEFF"/>
            </w:tcBorders>
            <w:shd w:val="clear" w:color="auto" w:fill="CCEEFF"/>
          </w:tcPr>
          <w:p>
            <w:pPr>
              <w:spacing w:after="0"/>
              <w:rPr>
                <w:sz w:val="15"/>
                <w:szCs w:val="15"/>
                <w:color w:val="auto"/>
              </w:rPr>
            </w:pPr>
          </w:p>
        </w:tc>
        <w:tc>
          <w:tcPr>
            <w:tcW w:w="1500" w:type="dxa"/>
            <w:vAlign w:val="bottom"/>
            <w:tcBorders>
              <w:right w:val="single" w:sz="8" w:color="CCEEFF"/>
            </w:tcBorders>
            <w:shd w:val="clear" w:color="auto" w:fill="CCEEFF"/>
          </w:tcPr>
          <w:p>
            <w:pPr>
              <w:spacing w:after="0"/>
              <w:rPr>
                <w:sz w:val="15"/>
                <w:szCs w:val="15"/>
                <w:color w:val="auto"/>
              </w:rPr>
            </w:pP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3/29/2029</w:t>
            </w:r>
          </w:p>
        </w:tc>
        <w:tc>
          <w:tcPr>
            <w:tcW w:w="920" w:type="dxa"/>
            <w:vAlign w:val="bottom"/>
            <w:tcBorders>
              <w:right w:val="single" w:sz="8" w:color="CCEEFF"/>
            </w:tcBorders>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320" w:type="dxa"/>
            <w:vAlign w:val="bottom"/>
            <w:tcBorders>
              <w:right w:val="single" w:sz="8" w:color="CCEEFF"/>
            </w:tcBorders>
            <w:shd w:val="clear" w:color="auto" w:fill="CCEEFF"/>
          </w:tcPr>
          <w:p>
            <w:pPr>
              <w:spacing w:after="0"/>
              <w:rPr>
                <w:sz w:val="5"/>
                <w:szCs w:val="5"/>
                <w:color w:val="auto"/>
              </w:rPr>
            </w:pPr>
          </w:p>
        </w:tc>
        <w:tc>
          <w:tcPr>
            <w:tcW w:w="1500" w:type="dxa"/>
            <w:vAlign w:val="bottom"/>
            <w:tcBorders>
              <w:right w:val="single" w:sz="8" w:color="CCEEFF"/>
            </w:tcBorders>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160" w:type="dxa"/>
            <w:vAlign w:val="bottom"/>
            <w:tcBorders>
              <w:right w:val="single" w:sz="8" w:color="CCEEFF"/>
            </w:tcBorders>
            <w:shd w:val="clear" w:color="auto" w:fill="CCEEFF"/>
          </w:tcPr>
          <w:p>
            <w:pPr>
              <w:spacing w:after="0"/>
              <w:rPr>
                <w:sz w:val="5"/>
                <w:szCs w:val="5"/>
                <w:color w:val="auto"/>
              </w:rPr>
            </w:pPr>
          </w:p>
        </w:tc>
        <w:tc>
          <w:tcPr>
            <w:tcW w:w="920" w:type="dxa"/>
            <w:vAlign w:val="bottom"/>
            <w:tcBorders>
              <w:right w:val="single" w:sz="8" w:color="CCEEFF"/>
            </w:tcBorders>
            <w:shd w:val="clear" w:color="auto" w:fill="CCEEFF"/>
          </w:tcPr>
          <w:p>
            <w:pPr>
              <w:spacing w:after="0"/>
              <w:rPr>
                <w:sz w:val="5"/>
                <w:szCs w:val="5"/>
                <w:color w:val="auto"/>
              </w:rPr>
            </w:pPr>
          </w:p>
        </w:tc>
        <w:tc>
          <w:tcPr>
            <w:tcW w:w="1020" w:type="dxa"/>
            <w:vAlign w:val="bottom"/>
            <w:tcBorders>
              <w:right w:val="single" w:sz="8" w:color="CCEEFF"/>
            </w:tcBorders>
            <w:shd w:val="clear" w:color="auto" w:fill="CCEEFF"/>
          </w:tcPr>
          <w:p>
            <w:pPr>
              <w:spacing w:after="0"/>
              <w:rPr>
                <w:sz w:val="5"/>
                <w:szCs w:val="5"/>
                <w:color w:val="auto"/>
              </w:rPr>
            </w:pPr>
          </w:p>
        </w:tc>
        <w:tc>
          <w:tcPr>
            <w:tcW w:w="1000" w:type="dxa"/>
            <w:vAlign w:val="bottom"/>
            <w:tcBorders>
              <w:right w:val="single" w:sz="8" w:color="CCEEFF"/>
            </w:tcBorders>
            <w:shd w:val="clear" w:color="auto" w:fill="CCEEFF"/>
          </w:tcPr>
          <w:p>
            <w:pPr>
              <w:spacing w:after="0"/>
              <w:rPr>
                <w:sz w:val="5"/>
                <w:szCs w:val="5"/>
                <w:color w:val="auto"/>
              </w:rPr>
            </w:pPr>
          </w:p>
        </w:tc>
        <w:tc>
          <w:tcPr>
            <w:tcW w:w="1040" w:type="dxa"/>
            <w:vAlign w:val="bottom"/>
            <w:tcBorders>
              <w:right w:val="single" w:sz="8" w:color="CCEEFF"/>
            </w:tcBorders>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40"/>
              <w:spacing w:after="0"/>
              <w:rPr>
                <w:sz w:val="20"/>
                <w:szCs w:val="20"/>
                <w:color w:val="auto"/>
              </w:rPr>
            </w:pPr>
            <w:r>
              <w:rPr>
                <w:rFonts w:ascii="Arial" w:cs="Arial" w:eastAsia="Arial" w:hAnsi="Arial"/>
                <w:sz w:val="14"/>
                <w:szCs w:val="14"/>
                <w:color w:val="auto"/>
              </w:rPr>
              <w:t>SendtoNews</w:t>
            </w:r>
          </w:p>
        </w:tc>
        <w:tc>
          <w:tcPr>
            <w:tcW w:w="1500" w:type="dxa"/>
            <w:vAlign w:val="bottom"/>
          </w:tcPr>
          <w:p>
            <w:pPr>
              <w:spacing w:after="0"/>
              <w:rPr>
                <w:sz w:val="20"/>
                <w:szCs w:val="20"/>
                <w:color w:val="auto"/>
              </w:rPr>
            </w:pPr>
            <w:r>
              <w:rPr>
                <w:rFonts w:ascii="Arial" w:cs="Arial" w:eastAsia="Arial" w:hAnsi="Arial"/>
                <w:sz w:val="14"/>
                <w:szCs w:val="14"/>
                <w:color w:val="auto"/>
              </w:rPr>
              <w:t>Advertising</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w w:val="97"/>
              </w:rPr>
              <w:t>Warrant for Class B Non-Voting Stock,</w:t>
            </w: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6/30/2017</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191,500</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246,461</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58,000</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0"/>
        </w:trPr>
        <w:tc>
          <w:tcPr>
            <w:tcW w:w="1320" w:type="dxa"/>
            <w:vAlign w:val="bottom"/>
          </w:tcPr>
          <w:p>
            <w:pPr>
              <w:ind w:left="280"/>
              <w:spacing w:after="0" w:line="141" w:lineRule="exact"/>
              <w:rPr>
                <w:sz w:val="20"/>
                <w:szCs w:val="20"/>
                <w:color w:val="auto"/>
              </w:rPr>
            </w:pPr>
            <w:r>
              <w:rPr>
                <w:rFonts w:ascii="Arial" w:cs="Arial" w:eastAsia="Arial" w:hAnsi="Arial"/>
                <w:sz w:val="14"/>
                <w:szCs w:val="14"/>
                <w:color w:val="auto"/>
              </w:rPr>
              <w:t>Video, Inc.</w:t>
            </w:r>
          </w:p>
        </w:tc>
        <w:tc>
          <w:tcPr>
            <w:tcW w:w="1500" w:type="dxa"/>
            <w:vAlign w:val="bottom"/>
          </w:tcPr>
          <w:p>
            <w:pPr>
              <w:spacing w:after="0"/>
              <w:rPr>
                <w:sz w:val="12"/>
                <w:szCs w:val="12"/>
                <w:color w:val="auto"/>
              </w:rPr>
            </w:pPr>
          </w:p>
        </w:tc>
        <w:tc>
          <w:tcPr>
            <w:tcW w:w="2380" w:type="dxa"/>
            <w:vAlign w:val="bottom"/>
            <w:gridSpan w:val="2"/>
          </w:tcPr>
          <w:p>
            <w:pPr>
              <w:ind w:left="20"/>
              <w:spacing w:after="0" w:line="141" w:lineRule="exact"/>
              <w:rPr>
                <w:sz w:val="20"/>
                <w:szCs w:val="20"/>
                <w:color w:val="auto"/>
              </w:rPr>
            </w:pPr>
            <w:r>
              <w:rPr>
                <w:rFonts w:ascii="Arial" w:cs="Arial" w:eastAsia="Arial" w:hAnsi="Arial"/>
                <w:sz w:val="14"/>
                <w:szCs w:val="14"/>
                <w:color w:val="auto"/>
              </w:rPr>
              <w:t>exercise price $0.67/share, expires</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6/30/2027</w:t>
            </w:r>
            <w:r>
              <w:rPr>
                <w:rFonts w:ascii="Arial" w:cs="Arial" w:eastAsia="Arial" w:hAnsi="Arial"/>
                <w:sz w:val="21"/>
                <w:szCs w:val="21"/>
                <w:color w:val="auto"/>
                <w:vertAlign w:val="superscript"/>
              </w:rPr>
              <w:t>(3),(7)</w:t>
            </w: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ShareThis Inc.</w:t>
            </w:r>
          </w:p>
        </w:tc>
        <w:tc>
          <w:tcPr>
            <w:tcW w:w="1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Data Processing &amp;</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4"/>
              </w:rPr>
              <w:t>Warrant for Series D-3 Preferred Stock,</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12/3/2018</w:t>
            </w:r>
          </w:p>
        </w:tc>
        <w:tc>
          <w:tcPr>
            <w:tcW w:w="10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647,615</w:t>
            </w:r>
          </w:p>
        </w:tc>
        <w:tc>
          <w:tcPr>
            <w:tcW w:w="10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2,162,000</w:t>
            </w:r>
          </w:p>
        </w:tc>
        <w:tc>
          <w:tcPr>
            <w:tcW w:w="104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2,162,000</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49"/>
        </w:trPr>
        <w:tc>
          <w:tcPr>
            <w:tcW w:w="1320" w:type="dxa"/>
            <w:vAlign w:val="bottom"/>
            <w:tcBorders>
              <w:right w:val="single" w:sz="8" w:color="CCEEFF"/>
            </w:tcBorders>
            <w:shd w:val="clear" w:color="auto" w:fill="CCEEFF"/>
          </w:tcPr>
          <w:p>
            <w:pPr>
              <w:spacing w:after="0"/>
              <w:rPr>
                <w:sz w:val="12"/>
                <w:szCs w:val="12"/>
                <w:color w:val="auto"/>
              </w:rPr>
            </w:pPr>
          </w:p>
        </w:tc>
        <w:tc>
          <w:tcPr>
            <w:tcW w:w="15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Outsourced Services</w:t>
            </w:r>
          </w:p>
        </w:tc>
        <w:tc>
          <w:tcPr>
            <w:tcW w:w="238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exercise price $2.4320/share, expires</w:t>
            </w:r>
          </w:p>
        </w:tc>
        <w:tc>
          <w:tcPr>
            <w:tcW w:w="92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Borders>
              <w:right w:val="single" w:sz="8" w:color="CCEEFF"/>
            </w:tcBorders>
            <w:shd w:val="clear" w:color="auto" w:fill="CCEEFF"/>
          </w:tcPr>
          <w:p>
            <w:pPr>
              <w:spacing w:after="0"/>
              <w:rPr>
                <w:sz w:val="15"/>
                <w:szCs w:val="15"/>
                <w:color w:val="auto"/>
              </w:rPr>
            </w:pPr>
          </w:p>
        </w:tc>
        <w:tc>
          <w:tcPr>
            <w:tcW w:w="1500" w:type="dxa"/>
            <w:vAlign w:val="bottom"/>
            <w:tcBorders>
              <w:right w:val="single" w:sz="8" w:color="CCEEFF"/>
            </w:tcBorders>
            <w:shd w:val="clear" w:color="auto" w:fill="CCEEFF"/>
          </w:tcPr>
          <w:p>
            <w:pPr>
              <w:spacing w:after="0"/>
              <w:rPr>
                <w:sz w:val="15"/>
                <w:szCs w:val="15"/>
                <w:color w:val="auto"/>
              </w:rPr>
            </w:pP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12/3/2028</w:t>
            </w:r>
          </w:p>
        </w:tc>
        <w:tc>
          <w:tcPr>
            <w:tcW w:w="920" w:type="dxa"/>
            <w:vAlign w:val="bottom"/>
            <w:tcBorders>
              <w:right w:val="single" w:sz="8" w:color="CCEEFF"/>
            </w:tcBorders>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320" w:type="dxa"/>
            <w:vAlign w:val="bottom"/>
            <w:tcBorders>
              <w:right w:val="single" w:sz="8" w:color="CCEEFF"/>
            </w:tcBorders>
            <w:shd w:val="clear" w:color="auto" w:fill="CCEEFF"/>
          </w:tcPr>
          <w:p>
            <w:pPr>
              <w:spacing w:after="0"/>
              <w:rPr>
                <w:sz w:val="3"/>
                <w:szCs w:val="3"/>
                <w:color w:val="auto"/>
              </w:rPr>
            </w:pPr>
          </w:p>
        </w:tc>
        <w:tc>
          <w:tcPr>
            <w:tcW w:w="150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160" w:type="dxa"/>
            <w:vAlign w:val="bottom"/>
            <w:tcBorders>
              <w:right w:val="single" w:sz="8" w:color="CCEEFF"/>
            </w:tcBorders>
            <w:shd w:val="clear" w:color="auto" w:fill="CCEEFF"/>
          </w:tcPr>
          <w:p>
            <w:pPr>
              <w:spacing w:after="0"/>
              <w:rPr>
                <w:sz w:val="3"/>
                <w:szCs w:val="3"/>
                <w:color w:val="auto"/>
              </w:rPr>
            </w:pPr>
          </w:p>
        </w:tc>
        <w:tc>
          <w:tcPr>
            <w:tcW w:w="920" w:type="dxa"/>
            <w:vAlign w:val="bottom"/>
            <w:tcBorders>
              <w:right w:val="single" w:sz="8" w:color="CCEEFF"/>
            </w:tcBorders>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104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-5562600</wp:posOffset>
            </wp:positionV>
            <wp:extent cx="342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-5562600</wp:posOffset>
            </wp:positionV>
            <wp:extent cx="342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-5562600</wp:posOffset>
            </wp:positionV>
            <wp:extent cx="342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-5562600</wp:posOffset>
            </wp:positionV>
            <wp:extent cx="342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-5562600</wp:posOffset>
            </wp:positionV>
            <wp:extent cx="342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-5562600</wp:posOffset>
            </wp:positionV>
            <wp:extent cx="342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-5562600</wp:posOffset>
            </wp:positionV>
            <wp:extent cx="342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sectPr>
      </w:pPr>
    </w:p>
    <w:bookmarkStart w:id="84" w:name="page85"/>
    <w:bookmarkEnd w:id="84"/>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December 31, 2019</w:t>
      </w:r>
    </w:p>
    <w:p>
      <w:pPr>
        <w:spacing w:after="0" w:line="13"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0"/>
              </w:rPr>
              <w:t>Investment Description</w:t>
            </w:r>
            <w:r>
              <w:rPr>
                <w:rFonts w:ascii="Arial" w:cs="Arial" w:eastAsia="Arial" w:hAnsi="Arial"/>
                <w:sz w:val="21"/>
                <w:szCs w:val="21"/>
                <w:b w:val="1"/>
                <w:bCs w:val="1"/>
                <w:color w:val="auto"/>
                <w:w w:val="90"/>
                <w:vertAlign w:val="superscript"/>
              </w:rPr>
              <w:t>(1),(5),(6),(11)</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Acquisition</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Principal/</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1"/>
                <w:szCs w:val="21"/>
                <w:b w:val="1"/>
                <w:bCs w:val="1"/>
                <w:color w:val="auto"/>
                <w:vertAlign w:val="superscript"/>
              </w:rPr>
              <w:t>(2)</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2"/>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w w:val="93"/>
              </w:rPr>
              <w:t>Portfolio Companies</w:t>
            </w:r>
          </w:p>
        </w:tc>
        <w:tc>
          <w:tcPr>
            <w:tcW w:w="1500" w:type="dxa"/>
            <w:vAlign w:val="bottom"/>
            <w:gridSpan w:val="3"/>
          </w:tcPr>
          <w:p>
            <w:pPr>
              <w:ind w:left="320"/>
              <w:spacing w:after="0"/>
              <w:rPr>
                <w:sz w:val="20"/>
                <w:szCs w:val="20"/>
                <w:color w:val="auto"/>
              </w:rPr>
            </w:pPr>
            <w:r>
              <w:rPr>
                <w:rFonts w:ascii="Arial" w:cs="Arial" w:eastAsia="Arial" w:hAnsi="Arial"/>
                <w:sz w:val="14"/>
                <w:szCs w:val="14"/>
                <w:b w:val="1"/>
                <w:bCs w:val="1"/>
                <w:color w:val="auto"/>
              </w:rPr>
              <w:t>Sub-Industry</w:t>
            </w:r>
          </w:p>
        </w:tc>
        <w:tc>
          <w:tcPr>
            <w:tcW w:w="2380" w:type="dxa"/>
            <w:vAlign w:val="bottom"/>
            <w:gridSpan w:val="2"/>
            <w:vMerge w:val="continue"/>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8"/>
                <w:szCs w:val="18"/>
                <w:color w:val="auto"/>
              </w:rPr>
            </w:pPr>
          </w:p>
        </w:tc>
        <w:tc>
          <w:tcPr>
            <w:tcW w:w="940" w:type="dxa"/>
            <w:vAlign w:val="bottom"/>
            <w:gridSpan w:val="3"/>
          </w:tcPr>
          <w:p>
            <w:pPr>
              <w:ind w:left="180"/>
              <w:spacing w:after="0"/>
              <w:rPr>
                <w:sz w:val="20"/>
                <w:szCs w:val="20"/>
                <w:color w:val="auto"/>
              </w:rPr>
            </w:pPr>
            <w:r>
              <w:rPr>
                <w:rFonts w:ascii="Arial" w:cs="Arial" w:eastAsia="Arial" w:hAnsi="Arial"/>
                <w:sz w:val="14"/>
                <w:szCs w:val="14"/>
                <w:b w:val="1"/>
                <w:bCs w:val="1"/>
                <w:color w:val="auto"/>
              </w:rPr>
              <w:t>Cost</w:t>
            </w:r>
          </w:p>
        </w:tc>
        <w:tc>
          <w:tcPr>
            <w:tcW w:w="1020" w:type="dxa"/>
            <w:vAlign w:val="bottom"/>
            <w:gridSpan w:val="4"/>
            <w:vMerge w:val="continue"/>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160" w:type="dxa"/>
            <w:vAlign w:val="bottom"/>
            <w:tcBorders>
              <w:right w:val="single" w:sz="8" w:color="CCEEFF"/>
            </w:tcBorders>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4"/>
                <w:szCs w:val="14"/>
                <w:b w:val="1"/>
                <w:bCs w:val="1"/>
                <w:color w:val="auto"/>
              </w:rPr>
              <w:t>Non-control/non-affiliate investments (continued)</w:t>
            </w:r>
          </w:p>
        </w:tc>
        <w:tc>
          <w:tcPr>
            <w:tcW w:w="92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820" w:type="dxa"/>
            <w:vAlign w:val="bottom"/>
            <w:tcBorders>
              <w:top w:val="single" w:sz="8" w:color="auto"/>
            </w:tcBorders>
            <w:gridSpan w:val="5"/>
          </w:tcPr>
          <w:p>
            <w:pPr>
              <w:spacing w:after="0"/>
              <w:rPr>
                <w:sz w:val="20"/>
                <w:szCs w:val="20"/>
                <w:color w:val="auto"/>
              </w:rPr>
            </w:pPr>
            <w:r>
              <w:rPr>
                <w:rFonts w:ascii="Arial" w:cs="Arial" w:eastAsia="Arial" w:hAnsi="Arial"/>
                <w:sz w:val="14"/>
                <w:szCs w:val="14"/>
                <w:b w:val="1"/>
                <w:bCs w:val="1"/>
                <w:color w:val="auto"/>
              </w:rPr>
              <w:t>Warrants</w:t>
            </w:r>
            <w:r>
              <w:rPr>
                <w:rFonts w:ascii="Arial" w:cs="Arial" w:eastAsia="Arial" w:hAnsi="Arial"/>
                <w:sz w:val="21"/>
                <w:szCs w:val="21"/>
                <w:b w:val="1"/>
                <w:bCs w:val="1"/>
                <w:color w:val="auto"/>
                <w:vertAlign w:val="superscript"/>
              </w:rPr>
              <w:t>(8)</w:t>
            </w:r>
            <w:r>
              <w:rPr>
                <w:rFonts w:ascii="Arial" w:cs="Arial" w:eastAsia="Arial" w:hAnsi="Arial"/>
                <w:sz w:val="14"/>
                <w:szCs w:val="14"/>
                <w:b w:val="1"/>
                <w:bCs w:val="1"/>
                <w:color w:val="auto"/>
              </w:rPr>
              <w:t xml:space="preserve"> (continued)</w:t>
            </w:r>
          </w:p>
        </w:tc>
        <w:tc>
          <w:tcPr>
            <w:tcW w:w="220" w:type="dxa"/>
            <w:vAlign w:val="bottom"/>
            <w:tcBorders>
              <w:top w:val="single" w:sz="8" w:color="auto"/>
            </w:tcBorders>
          </w:tcPr>
          <w:p>
            <w:pPr>
              <w:spacing w:after="0"/>
              <w:rPr>
                <w:sz w:val="22"/>
                <w:szCs w:val="22"/>
                <w:color w:val="auto"/>
              </w:rPr>
            </w:pPr>
          </w:p>
        </w:tc>
        <w:tc>
          <w:tcPr>
            <w:tcW w:w="2160" w:type="dxa"/>
            <w:vAlign w:val="bottom"/>
            <w:tcBorders>
              <w:top w:val="single" w:sz="8" w:color="CCEEFF"/>
            </w:tcBorders>
          </w:tcPr>
          <w:p>
            <w:pPr>
              <w:spacing w:after="0"/>
              <w:rPr>
                <w:sz w:val="22"/>
                <w:szCs w:val="22"/>
                <w:color w:val="auto"/>
              </w:rPr>
            </w:pPr>
          </w:p>
        </w:tc>
        <w:tc>
          <w:tcPr>
            <w:tcW w:w="92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60" w:type="dxa"/>
            <w:vAlign w:val="bottom"/>
            <w:tcBorders>
              <w:top w:val="single" w:sz="8" w:color="CCEE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zSpace, Inc.</w:t>
            </w:r>
          </w:p>
        </w:tc>
        <w:tc>
          <w:tcPr>
            <w:tcW w:w="15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Technology Hardware,</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Warrant for Series E Preferred Stock,</w:t>
            </w:r>
          </w:p>
        </w:tc>
        <w:tc>
          <w:tcPr>
            <w:tcW w:w="92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12/29/2017</w:t>
            </w:r>
          </w:p>
        </w:tc>
        <w:tc>
          <w:tcPr>
            <w:tcW w:w="10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$1,896,966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707,568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208,595</w:t>
            </w:r>
          </w:p>
        </w:tc>
        <w:tc>
          <w:tcPr>
            <w:tcW w:w="8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500" w:type="dxa"/>
            <w:vAlign w:val="bottom"/>
            <w:tcBorders>
              <w:right w:val="single" w:sz="8" w:color="CCEEFF"/>
            </w:tcBorders>
            <w:gridSpan w:val="3"/>
            <w:shd w:val="clear" w:color="auto" w:fill="CCEEFF"/>
          </w:tcPr>
          <w:p>
            <w:pPr>
              <w:spacing w:after="0" w:line="149" w:lineRule="exact"/>
              <w:rPr>
                <w:sz w:val="20"/>
                <w:szCs w:val="20"/>
                <w:color w:val="auto"/>
              </w:rPr>
            </w:pPr>
            <w:r>
              <w:rPr>
                <w:rFonts w:ascii="Arial" w:cs="Arial" w:eastAsia="Arial" w:hAnsi="Arial"/>
                <w:sz w:val="14"/>
                <w:szCs w:val="14"/>
                <w:color w:val="auto"/>
              </w:rPr>
              <w:t>Storage &amp; Peripherals</w:t>
            </w:r>
          </w:p>
        </w:tc>
        <w:tc>
          <w:tcPr>
            <w:tcW w:w="238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exercise price $0.90/share, expires</w:t>
            </w:r>
          </w:p>
        </w:tc>
        <w:tc>
          <w:tcPr>
            <w:tcW w:w="92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76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12/29/2027</w:t>
            </w:r>
          </w:p>
        </w:tc>
        <w:tc>
          <w:tcPr>
            <w:tcW w:w="920" w:type="dxa"/>
            <w:vAlign w:val="bottom"/>
            <w:tcBorders>
              <w:right w:val="single" w:sz="8" w:color="CCEEFF"/>
            </w:tcBorders>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Warrant for Series E Preferred Stock,</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2/11/2019</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$2,806,830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411,528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308,645</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exercise price $0.90/share, expires</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2/11/2029</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76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16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3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Warrants</w:t>
            </w: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right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CCEEFF"/>
            </w:tcBorders>
            <w:shd w:val="clear" w:color="auto" w:fill="CCEEFF"/>
          </w:tcPr>
          <w:p>
            <w:pPr>
              <w:spacing w:after="0"/>
              <w:rPr>
                <w:sz w:val="20"/>
                <w:szCs w:val="20"/>
                <w:color w:val="auto"/>
              </w:rPr>
            </w:pPr>
          </w:p>
        </w:tc>
        <w:tc>
          <w:tcPr>
            <w:tcW w:w="102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18,383,811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18,008,337</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1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gridSpan w:val="5"/>
          </w:tcPr>
          <w:p>
            <w:pPr>
              <w:spacing w:after="0"/>
              <w:rPr>
                <w:sz w:val="20"/>
                <w:szCs w:val="20"/>
                <w:color w:val="auto"/>
              </w:rPr>
            </w:pPr>
            <w:r>
              <w:rPr>
                <w:rFonts w:ascii="Arial" w:cs="Arial" w:eastAsia="Arial" w:hAnsi="Arial"/>
                <w:sz w:val="14"/>
                <w:szCs w:val="14"/>
                <w:b w:val="1"/>
                <w:bCs w:val="1"/>
                <w:color w:val="auto"/>
                <w:w w:val="97"/>
              </w:rPr>
              <w:t>Total non-control/non-affiliate investments</w:t>
            </w: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377,018,900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368,016,276</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97.67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760" w:type="dxa"/>
            <w:vAlign w:val="bottom"/>
            <w:tcBorders>
              <w:top w:val="single" w:sz="8" w:color="auto"/>
              <w:bottom w:val="single" w:sz="8" w:color="CCEEFF"/>
            </w:tcBorders>
          </w:tcPr>
          <w:p>
            <w:pPr>
              <w:spacing w:after="0"/>
              <w:rPr>
                <w:sz w:val="5"/>
                <w:szCs w:val="5"/>
                <w:color w:val="auto"/>
              </w:rPr>
            </w:pPr>
          </w:p>
        </w:tc>
        <w:tc>
          <w:tcPr>
            <w:tcW w:w="560" w:type="dxa"/>
            <w:vAlign w:val="bottom"/>
            <w:tcBorders>
              <w:top w:val="single" w:sz="8" w:color="auto"/>
              <w:bottom w:val="single" w:sz="8" w:color="CCEEFF"/>
            </w:tcBorders>
          </w:tcPr>
          <w:p>
            <w:pPr>
              <w:spacing w:after="0"/>
              <w:rPr>
                <w:sz w:val="5"/>
                <w:szCs w:val="5"/>
                <w:color w:val="auto"/>
              </w:rPr>
            </w:pPr>
          </w:p>
        </w:tc>
        <w:tc>
          <w:tcPr>
            <w:tcW w:w="1300" w:type="dxa"/>
            <w:vAlign w:val="bottom"/>
            <w:tcBorders>
              <w:top w:val="single" w:sz="8" w:color="auto"/>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16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320" w:type="dxa"/>
            <w:vAlign w:val="bottom"/>
            <w:tcBorders>
              <w:right w:val="single" w:sz="8" w:color="CCEEFF"/>
            </w:tcBorders>
            <w:gridSpan w:val="2"/>
            <w:shd w:val="clear" w:color="auto" w:fill="CCEEFF"/>
          </w:tcPr>
          <w:p>
            <w:pPr>
              <w:ind w:left="140"/>
              <w:spacing w:after="0" w:line="155" w:lineRule="exact"/>
              <w:rPr>
                <w:sz w:val="20"/>
                <w:szCs w:val="20"/>
                <w:color w:val="auto"/>
              </w:rPr>
            </w:pPr>
            <w:r>
              <w:rPr>
                <w:rFonts w:ascii="Arial" w:cs="Arial" w:eastAsia="Arial" w:hAnsi="Arial"/>
                <w:sz w:val="14"/>
                <w:szCs w:val="14"/>
                <w:b w:val="1"/>
                <w:bCs w:val="1"/>
                <w:color w:val="auto"/>
              </w:rPr>
              <w:t>U.S. Treasury</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380" w:type="dxa"/>
            <w:vAlign w:val="bottom"/>
            <w:tcBorders>
              <w:right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U.S. Treasury Bill, 1.33%, due</w:t>
            </w:r>
          </w:p>
        </w:tc>
        <w:tc>
          <w:tcPr>
            <w:tcW w:w="920" w:type="dxa"/>
            <w:vAlign w:val="bottom"/>
            <w:tcBorders>
              <w:right w:val="single" w:sz="8" w:color="CCEEFF"/>
            </w:tcBorders>
            <w:shd w:val="clear" w:color="auto" w:fill="CCEEFF"/>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w w:val="99"/>
              </w:rPr>
              <w:t>74,983,437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w w:val="99"/>
              </w:rPr>
              <w:t>74,966,770</w:t>
            </w:r>
          </w:p>
        </w:tc>
        <w:tc>
          <w:tcPr>
            <w:tcW w:w="8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19.92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380" w:type="dxa"/>
            <w:vAlign w:val="bottom"/>
            <w:tcBorders>
              <w:right w:val="single" w:sz="8" w:color="CCEEFF"/>
            </w:tcBorders>
            <w:gridSpan w:val="2"/>
            <w:shd w:val="clear" w:color="auto" w:fill="CCEEFF"/>
          </w:tcPr>
          <w:p>
            <w:pPr>
              <w:ind w:left="20"/>
              <w:spacing w:after="0" w:line="216" w:lineRule="exact"/>
              <w:rPr>
                <w:sz w:val="20"/>
                <w:szCs w:val="20"/>
                <w:color w:val="auto"/>
              </w:rPr>
            </w:pPr>
            <w:r>
              <w:rPr>
                <w:rFonts w:ascii="Arial" w:cs="Arial" w:eastAsia="Arial" w:hAnsi="Arial"/>
                <w:sz w:val="14"/>
                <w:szCs w:val="14"/>
                <w:color w:val="auto"/>
              </w:rPr>
              <w:t>1/7/2020</w:t>
            </w:r>
            <w:r>
              <w:rPr>
                <w:rFonts w:ascii="Arial" w:cs="Arial" w:eastAsia="Arial" w:hAnsi="Arial"/>
                <w:sz w:val="21"/>
                <w:szCs w:val="21"/>
                <w:color w:val="auto"/>
                <w:vertAlign w:val="superscript"/>
              </w:rPr>
              <w:t>(10)</w:t>
            </w:r>
          </w:p>
        </w:tc>
        <w:tc>
          <w:tcPr>
            <w:tcW w:w="92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w w:val="94"/>
              </w:rPr>
              <w:t>U.S. Treasury Bill, 0.97%, due 1/2/2020</w:t>
            </w: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24,999,328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24,998,653</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76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16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U.S.Treasury</w:t>
            </w: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right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CCEEFF"/>
            </w:tcBorders>
            <w:shd w:val="clear" w:color="auto" w:fill="CCEEFF"/>
          </w:tcPr>
          <w:p>
            <w:pPr>
              <w:spacing w:after="0"/>
              <w:rPr>
                <w:sz w:val="20"/>
                <w:szCs w:val="20"/>
                <w:color w:val="auto"/>
              </w:rPr>
            </w:pPr>
          </w:p>
        </w:tc>
        <w:tc>
          <w:tcPr>
            <w:tcW w:w="102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99,982,765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99,965,423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1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Total Investments</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477,001,665</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467,981,699</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0"/>
              </w:rPr>
              <w:t>124.36%</w:t>
            </w:r>
          </w:p>
        </w:tc>
        <w:tc>
          <w:tcPr>
            <w:tcW w:w="0" w:type="dxa"/>
            <w:vAlign w:val="bottom"/>
          </w:tcPr>
          <w:p>
            <w:pPr>
              <w:spacing w:after="0"/>
              <w:rPr>
                <w:sz w:val="1"/>
                <w:szCs w:val="1"/>
                <w:color w:val="auto"/>
              </w:rPr>
            </w:pPr>
          </w:p>
        </w:tc>
      </w:tr>
      <w:tr>
        <w:trPr>
          <w:trHeight w:val="39"/>
        </w:trPr>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-548005</wp:posOffset>
            </wp:positionV>
            <wp:extent cx="61804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-959485</wp:posOffset>
            </wp:positionV>
            <wp:extent cx="61804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-1302385</wp:posOffset>
            </wp:positionV>
            <wp:extent cx="61804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-2296795</wp:posOffset>
            </wp:positionV>
            <wp:extent cx="342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-2296795</wp:posOffset>
            </wp:positionV>
            <wp:extent cx="342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-2296795</wp:posOffset>
            </wp:positionV>
            <wp:extent cx="342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-2296795</wp:posOffset>
            </wp:positionV>
            <wp:extent cx="342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-2296795</wp:posOffset>
            </wp:positionV>
            <wp:extent cx="342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-2296795</wp:posOffset>
            </wp:positionV>
            <wp:extent cx="342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-2296795</wp:posOffset>
            </wp:positionV>
            <wp:extent cx="342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28" w:lineRule="exact"/>
        <w:rPr>
          <w:sz w:val="20"/>
          <w:szCs w:val="20"/>
          <w:color w:val="auto"/>
        </w:rPr>
      </w:pPr>
    </w:p>
    <w:p>
      <w:pPr>
        <w:jc w:val="both"/>
        <w:ind w:left="1620" w:right="820" w:hanging="358"/>
        <w:spacing w:after="0" w:line="257"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2019, the 3-Month LIBOR was 1.91% and the U.S. Prime Rate was 4.75%.</w:t>
      </w:r>
    </w:p>
    <w:p>
      <w:pPr>
        <w:spacing w:after="0" w:line="52" w:lineRule="exact"/>
        <w:rPr>
          <w:rFonts w:ascii="Arial" w:cs="Arial" w:eastAsia="Arial" w:hAnsi="Arial"/>
          <w:sz w:val="18"/>
          <w:szCs w:val="18"/>
          <w:color w:val="auto"/>
        </w:rPr>
      </w:pPr>
    </w:p>
    <w:p>
      <w:pPr>
        <w:jc w:val="both"/>
        <w:ind w:left="1620" w:right="820" w:hanging="358"/>
        <w:spacing w:after="0" w:line="263"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investments in portfolio companies, which as of December 31, 2019 represented 97.80% of the Company’s net assets, are restricted as to resale and were valued at fair value as determined in good faith by the Company’s Board of Directors.</w:t>
      </w:r>
    </w:p>
    <w:p>
      <w:pPr>
        <w:spacing w:after="0" w:line="48" w:lineRule="exact"/>
        <w:rPr>
          <w:rFonts w:ascii="Arial" w:cs="Arial" w:eastAsia="Arial" w:hAnsi="Arial"/>
          <w:sz w:val="18"/>
          <w:szCs w:val="18"/>
          <w:color w:val="auto"/>
        </w:rPr>
      </w:pPr>
    </w:p>
    <w:p>
      <w:pPr>
        <w:jc w:val="both"/>
        <w:ind w:left="1620" w:right="820" w:hanging="358"/>
        <w:spacing w:after="0" w:line="273" w:lineRule="auto"/>
        <w:tabs>
          <w:tab w:leader="none" w:pos="1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Investment is not a qualifying investment as defined under Section 55(a) of the Investment Company Act of 1940, as amended. Non-qualifying assets represent 4.25% of total investments at fair value as of December 31, 2019.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spacing w:after="0" w:line="42" w:lineRule="exact"/>
        <w:rPr>
          <w:rFonts w:ascii="Arial" w:cs="Arial" w:eastAsia="Arial" w:hAnsi="Arial"/>
          <w:sz w:val="17"/>
          <w:szCs w:val="17"/>
          <w:color w:val="auto"/>
        </w:rPr>
      </w:pPr>
    </w:p>
    <w:p>
      <w:pPr>
        <w:ind w:left="1620" w:hanging="358"/>
        <w:spacing w:after="0"/>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a PIK security. PIK interest will be accrued and paid at maturity.</w:t>
      </w:r>
    </w:p>
    <w:p>
      <w:pPr>
        <w:spacing w:after="0" w:line="103" w:lineRule="exact"/>
        <w:rPr>
          <w:rFonts w:ascii="Arial" w:cs="Arial" w:eastAsia="Arial" w:hAnsi="Arial"/>
          <w:sz w:val="18"/>
          <w:szCs w:val="18"/>
          <w:color w:val="auto"/>
        </w:rPr>
      </w:pPr>
    </w:p>
    <w:p>
      <w:pPr>
        <w:ind w:left="1620" w:right="820" w:hanging="358"/>
        <w:spacing w:after="0" w:line="277"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investments are valued using unobservable inputs, except the U.S. Treasury Bills which are valued using observable inputs.</w:t>
      </w:r>
    </w:p>
    <w:p>
      <w:pPr>
        <w:spacing w:after="0" w:line="35" w:lineRule="exact"/>
        <w:rPr>
          <w:rFonts w:ascii="Arial" w:cs="Arial" w:eastAsia="Arial" w:hAnsi="Arial"/>
          <w:sz w:val="18"/>
          <w:szCs w:val="18"/>
          <w:color w:val="auto"/>
        </w:rPr>
      </w:pPr>
    </w:p>
    <w:p>
      <w:pPr>
        <w:ind w:left="1620" w:hanging="358"/>
        <w:spacing w:after="0"/>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investments are domiciled in the United States, unless otherwise noted.</w:t>
      </w:r>
    </w:p>
    <w:p>
      <w:pPr>
        <w:spacing w:after="0" w:line="90" w:lineRule="exact"/>
        <w:rPr>
          <w:rFonts w:ascii="Arial" w:cs="Arial" w:eastAsia="Arial" w:hAnsi="Arial"/>
          <w:sz w:val="18"/>
          <w:szCs w:val="18"/>
          <w:color w:val="auto"/>
        </w:rPr>
      </w:pPr>
    </w:p>
    <w:p>
      <w:pPr>
        <w:ind w:left="1620" w:hanging="358"/>
        <w:spacing w:after="0"/>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Investment is domiciled in Canada.</w:t>
      </w:r>
    </w:p>
    <w:p>
      <w:pPr>
        <w:spacing w:after="0" w:line="90" w:lineRule="exact"/>
        <w:rPr>
          <w:rFonts w:ascii="Arial" w:cs="Arial" w:eastAsia="Arial" w:hAnsi="Arial"/>
          <w:sz w:val="18"/>
          <w:szCs w:val="18"/>
          <w:color w:val="auto"/>
        </w:rPr>
      </w:pPr>
    </w:p>
    <w:p>
      <w:pPr>
        <w:ind w:left="1620" w:hanging="358"/>
        <w:spacing w:after="0"/>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Investments are non-income producing.</w:t>
      </w:r>
    </w:p>
    <w:p>
      <w:pPr>
        <w:spacing w:after="0" w:line="103" w:lineRule="exact"/>
        <w:rPr>
          <w:rFonts w:ascii="Arial" w:cs="Arial" w:eastAsia="Arial" w:hAnsi="Arial"/>
          <w:sz w:val="18"/>
          <w:szCs w:val="18"/>
          <w:color w:val="auto"/>
        </w:rPr>
      </w:pPr>
    </w:p>
    <w:p>
      <w:pPr>
        <w:ind w:left="1620" w:right="820" w:hanging="358"/>
        <w:spacing w:after="0" w:line="277"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Investments are held at Fair Value net of the Fair Value of Unfunded Commitments. See Note 3 for additional detail.</w:t>
      </w:r>
    </w:p>
    <w:p>
      <w:pPr>
        <w:spacing w:after="0" w:line="35" w:lineRule="exact"/>
        <w:rPr>
          <w:rFonts w:ascii="Arial" w:cs="Arial" w:eastAsia="Arial" w:hAnsi="Arial"/>
          <w:sz w:val="18"/>
          <w:szCs w:val="18"/>
          <w:color w:val="auto"/>
        </w:rPr>
      </w:pPr>
    </w:p>
    <w:p>
      <w:pPr>
        <w:jc w:val="both"/>
        <w:ind w:left="1620" w:right="820" w:hanging="358"/>
        <w:spacing w:after="0" w:line="259"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Treasury bills with $75,000,000 in aggregate of par value were purchased pursuant to a 5.00% reverse repurchase agreement with Goldman Sachs, dated December 27, 2019, due January 3, 2020, with a repurchase price of $75,000,000 and collateralized by a 1.45% U.S. Treasury Bill due January 7, 2020 with a par value of $75,000,000 and fair value of $74,966,771.</w:t>
      </w:r>
    </w:p>
    <w:p>
      <w:pPr>
        <w:spacing w:after="0" w:line="6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See notes to financial statements.</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80"/>
          </w:cols>
          <w:pgMar w:left="320" w:top="131" w:right="1299" w:bottom="1440" w:gutter="0" w:footer="0" w:header="0"/>
        </w:sectPr>
      </w:pPr>
    </w:p>
    <w:bookmarkStart w:id="85" w:name="page86"/>
    <w:bookmarkEnd w:id="85"/>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December 31, 2019</w:t>
      </w:r>
    </w:p>
    <w:p>
      <w:pPr>
        <w:spacing w:after="0" w:line="170" w:lineRule="exact"/>
        <w:rPr>
          <w:sz w:val="20"/>
          <w:szCs w:val="20"/>
          <w:color w:val="auto"/>
        </w:rPr>
      </w:pPr>
    </w:p>
    <w:p>
      <w:pPr>
        <w:ind w:left="1620" w:right="679" w:hanging="358"/>
        <w:spacing w:after="0" w:line="277"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Disclosures of end-of-term-payments (“ETP”) are one-time payments stated as a percentage of original principal amount.</w:t>
      </w:r>
    </w:p>
    <w:p>
      <w:pPr>
        <w:spacing w:after="0" w:line="21" w:lineRule="exact"/>
        <w:rPr>
          <w:rFonts w:ascii="Arial" w:cs="Arial" w:eastAsia="Arial" w:hAnsi="Arial"/>
          <w:sz w:val="18"/>
          <w:szCs w:val="18"/>
          <w:color w:val="auto"/>
        </w:rPr>
      </w:pPr>
    </w:p>
    <w:p>
      <w:pPr>
        <w:ind w:left="1620" w:right="679" w:hanging="358"/>
        <w:spacing w:after="0" w:line="277"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occurrence of a sale by the borrower, Aginity, Inc. will satisfy the repayment of the Extension line first from the proceeds available to the Company.</w:t>
      </w:r>
    </w:p>
    <w:p>
      <w:pPr>
        <w:spacing w:after="0" w:line="103"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2019:</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 2019</w:t>
            </w:r>
          </w:p>
        </w:tc>
      </w:tr>
      <w:tr>
        <w:trPr>
          <w:trHeight w:val="26"/>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5"/>
          </w:tcPr>
          <w:p>
            <w:pPr>
              <w:spacing w:after="0"/>
              <w:rPr>
                <w:sz w:val="2"/>
                <w:szCs w:val="2"/>
                <w:color w:val="auto"/>
              </w:rPr>
            </w:pPr>
          </w:p>
        </w:tc>
      </w:tr>
      <w:tr>
        <w:trPr>
          <w:trHeight w:val="173"/>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Investments at</w:t>
            </w:r>
          </w:p>
        </w:tc>
        <w:tc>
          <w:tcPr>
            <w:tcW w:w="1040" w:type="dxa"/>
            <w:vAlign w:val="bottom"/>
            <w:gridSpan w:val="5"/>
          </w:tcPr>
          <w:p>
            <w:pPr>
              <w:jc w:val="center"/>
              <w:ind w:left="112"/>
              <w:spacing w:after="0"/>
              <w:rPr>
                <w:sz w:val="20"/>
                <w:szCs w:val="20"/>
                <w:color w:val="auto"/>
              </w:rPr>
            </w:pPr>
            <w:r>
              <w:rPr>
                <w:rFonts w:ascii="Arial" w:cs="Arial" w:eastAsia="Arial" w:hAnsi="Arial"/>
                <w:sz w:val="14"/>
                <w:szCs w:val="14"/>
                <w:b w:val="1"/>
                <w:bCs w:val="1"/>
                <w:color w:val="auto"/>
                <w:w w:val="90"/>
              </w:rPr>
              <w:t>Percentage of</w:t>
            </w:r>
          </w:p>
        </w:tc>
      </w:tr>
      <w:tr>
        <w:trPr>
          <w:trHeight w:val="186"/>
        </w:trPr>
        <w:tc>
          <w:tcPr>
            <w:tcW w:w="5200" w:type="dxa"/>
            <w:vAlign w:val="bottom"/>
          </w:tcPr>
          <w:p>
            <w:pPr>
              <w:spacing w:after="0"/>
              <w:rPr>
                <w:sz w:val="20"/>
                <w:szCs w:val="20"/>
                <w:color w:val="auto"/>
              </w:rPr>
            </w:pPr>
            <w:r>
              <w:rPr>
                <w:rFonts w:ascii="Arial" w:cs="Arial" w:eastAsia="Arial" w:hAnsi="Arial"/>
                <w:sz w:val="14"/>
                <w:szCs w:val="14"/>
                <w:b w:val="1"/>
                <w:bCs w:val="1"/>
                <w:color w:val="auto"/>
              </w:rPr>
              <w:t>Geographic Region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6"/>
                <w:szCs w:val="16"/>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Net Assets</w:t>
            </w:r>
          </w:p>
        </w:tc>
      </w:tr>
      <w:tr>
        <w:trPr>
          <w:trHeight w:val="26"/>
        </w:trPr>
        <w:tc>
          <w:tcPr>
            <w:tcW w:w="5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$226,473,356</w:t>
            </w: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60.19%</w:t>
            </w: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Northwestern United States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50,241,366</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13.35</w:t>
            </w:r>
          </w:p>
        </w:tc>
        <w:tc>
          <w:tcPr>
            <w:tcW w:w="200" w:type="dxa"/>
            <w:vAlign w:val="bottom"/>
          </w:tcPr>
          <w:p>
            <w:pPr>
              <w:spacing w:after="0"/>
              <w:rPr>
                <w:sz w:val="22"/>
                <w:szCs w:val="22"/>
                <w:color w:val="auto"/>
              </w:rPr>
            </w:pPr>
          </w:p>
        </w:tc>
      </w:tr>
      <w:tr>
        <w:trPr>
          <w:trHeight w:val="25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Southeastern United States</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23,320,627</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0" w:type="dxa"/>
            <w:vAlign w:val="bottom"/>
            <w:shd w:val="clear" w:color="auto" w:fill="CCEEFF"/>
          </w:tcPr>
          <w:p>
            <w:pPr>
              <w:spacing w:after="0"/>
              <w:rPr>
                <w:sz w:val="22"/>
                <w:szCs w:val="22"/>
                <w:color w:val="auto"/>
              </w:rPr>
            </w:pP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South Central United States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20,776,293</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22"/>
                <w:szCs w:val="22"/>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Midwestern United States</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19,048,324</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00" w:type="dxa"/>
            <w:vAlign w:val="bottom"/>
            <w:shd w:val="clear" w:color="auto" w:fill="CCEEFF"/>
          </w:tcPr>
          <w:p>
            <w:pPr>
              <w:spacing w:after="0"/>
              <w:rPr>
                <w:sz w:val="22"/>
                <w:szCs w:val="22"/>
                <w:color w:val="auto"/>
              </w:rPr>
            </w:pP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Northeastern United States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17,102,034</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4.54</w:t>
            </w:r>
          </w:p>
        </w:tc>
        <w:tc>
          <w:tcPr>
            <w:tcW w:w="200" w:type="dxa"/>
            <w:vAlign w:val="bottom"/>
          </w:tcPr>
          <w:p>
            <w:pPr>
              <w:spacing w:after="0"/>
              <w:rPr>
                <w:sz w:val="22"/>
                <w:szCs w:val="22"/>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Canada</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11,054,276</w:t>
            </w:r>
          </w:p>
        </w:tc>
        <w:tc>
          <w:tcPr>
            <w:tcW w:w="440" w:type="dxa"/>
            <w:vAlign w:val="bottom"/>
            <w:tcBorders>
              <w:bottom w:val="single" w:sz="8" w:color="CCEEFF"/>
            </w:tcBorders>
            <w:gridSpan w:val="3"/>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57"/>
        </w:trPr>
        <w:tc>
          <w:tcPr>
            <w:tcW w:w="5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368,016,276</w:t>
            </w:r>
          </w:p>
        </w:tc>
        <w:tc>
          <w:tcPr>
            <w:tcW w:w="1040" w:type="dxa"/>
            <w:vAlign w:val="bottom"/>
            <w:gridSpan w:val="5"/>
          </w:tcPr>
          <w:p>
            <w:pPr>
              <w:jc w:val="right"/>
              <w:ind w:right="60"/>
              <w:spacing w:after="0"/>
              <w:rPr>
                <w:sz w:val="20"/>
                <w:szCs w:val="20"/>
                <w:color w:val="auto"/>
              </w:rPr>
            </w:pPr>
            <w:r>
              <w:rPr>
                <w:rFonts w:ascii="Arial" w:cs="Arial" w:eastAsia="Arial" w:hAnsi="Arial"/>
                <w:sz w:val="18"/>
                <w:szCs w:val="18"/>
                <w:color w:val="auto"/>
              </w:rPr>
              <w:t>97.80%</w:t>
            </w: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41"/>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 2019</w:t>
            </w:r>
          </w:p>
        </w:tc>
      </w:tr>
      <w:tr>
        <w:trPr>
          <w:trHeight w:val="25"/>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5"/>
          </w:tcPr>
          <w:p>
            <w:pPr>
              <w:spacing w:after="0"/>
              <w:rPr>
                <w:sz w:val="2"/>
                <w:szCs w:val="2"/>
                <w:color w:val="auto"/>
              </w:rPr>
            </w:pPr>
          </w:p>
        </w:tc>
      </w:tr>
      <w:tr>
        <w:trPr>
          <w:trHeight w:val="173"/>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Investments at</w:t>
            </w:r>
          </w:p>
        </w:tc>
        <w:tc>
          <w:tcPr>
            <w:tcW w:w="1040" w:type="dxa"/>
            <w:vAlign w:val="bottom"/>
            <w:gridSpan w:val="5"/>
          </w:tcPr>
          <w:p>
            <w:pPr>
              <w:jc w:val="center"/>
              <w:ind w:left="112"/>
              <w:spacing w:after="0"/>
              <w:rPr>
                <w:sz w:val="20"/>
                <w:szCs w:val="20"/>
                <w:color w:val="auto"/>
              </w:rPr>
            </w:pPr>
            <w:r>
              <w:rPr>
                <w:rFonts w:ascii="Arial" w:cs="Arial" w:eastAsia="Arial" w:hAnsi="Arial"/>
                <w:sz w:val="14"/>
                <w:szCs w:val="14"/>
                <w:b w:val="1"/>
                <w:bCs w:val="1"/>
                <w:color w:val="auto"/>
                <w:w w:val="90"/>
              </w:rPr>
              <w:t>Percentage of</w:t>
            </w:r>
          </w:p>
        </w:tc>
      </w:tr>
      <w:tr>
        <w:trPr>
          <w:trHeight w:val="186"/>
        </w:trPr>
        <w:tc>
          <w:tcPr>
            <w:tcW w:w="5200" w:type="dxa"/>
            <w:vAlign w:val="bottom"/>
          </w:tcPr>
          <w:p>
            <w:pPr>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6"/>
                <w:szCs w:val="16"/>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Net Assets</w:t>
            </w:r>
          </w:p>
        </w:tc>
      </w:tr>
      <w:tr>
        <w:trPr>
          <w:trHeight w:val="25"/>
        </w:trPr>
        <w:tc>
          <w:tcPr>
            <w:tcW w:w="5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r>
      <w:tr>
        <w:trPr>
          <w:trHeight w:val="25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$101,674,597</w:t>
            </w: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27.02%</w:t>
            </w:r>
          </w:p>
        </w:tc>
      </w:tr>
      <w:tr>
        <w:trPr>
          <w:trHeight w:val="256"/>
        </w:trPr>
        <w:tc>
          <w:tcPr>
            <w:tcW w:w="5200" w:type="dxa"/>
            <w:vAlign w:val="bottom"/>
          </w:tcPr>
          <w:p>
            <w:pPr>
              <w:spacing w:after="0"/>
              <w:rPr>
                <w:sz w:val="20"/>
                <w:szCs w:val="20"/>
                <w:color w:val="auto"/>
              </w:rPr>
            </w:pPr>
            <w:r>
              <w:rPr>
                <w:rFonts w:ascii="Arial" w:cs="Arial" w:eastAsia="Arial" w:hAnsi="Arial"/>
                <w:sz w:val="18"/>
                <w:szCs w:val="18"/>
                <w:color w:val="auto"/>
              </w:rPr>
              <w:t>Data Processing &amp; Outsourced Services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60,316,003</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16.03</w:t>
            </w:r>
          </w:p>
        </w:tc>
        <w:tc>
          <w:tcPr>
            <w:tcW w:w="200" w:type="dxa"/>
            <w:vAlign w:val="bottom"/>
          </w:tcPr>
          <w:p>
            <w:pPr>
              <w:spacing w:after="0"/>
              <w:rPr>
                <w:sz w:val="22"/>
                <w:szCs w:val="22"/>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Technology Hardware, Storage &amp; Peripherals</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36,120,776</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spacing w:after="0"/>
              <w:rPr>
                <w:sz w:val="22"/>
                <w:szCs w:val="22"/>
                <w:color w:val="auto"/>
              </w:rPr>
            </w:pPr>
          </w:p>
        </w:tc>
      </w:tr>
      <w:tr>
        <w:trPr>
          <w:trHeight w:val="256"/>
        </w:trPr>
        <w:tc>
          <w:tcPr>
            <w:tcW w:w="5200" w:type="dxa"/>
            <w:vAlign w:val="bottom"/>
          </w:tcPr>
          <w:p>
            <w:pPr>
              <w:spacing w:after="0"/>
              <w:rPr>
                <w:sz w:val="20"/>
                <w:szCs w:val="20"/>
                <w:color w:val="auto"/>
              </w:rPr>
            </w:pPr>
            <w:r>
              <w:rPr>
                <w:rFonts w:ascii="Arial" w:cs="Arial" w:eastAsia="Arial" w:hAnsi="Arial"/>
                <w:sz w:val="18"/>
                <w:szCs w:val="18"/>
                <w:color w:val="auto"/>
              </w:rPr>
              <w:t>Internet Retail</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34,751,272</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9.23</w:t>
            </w:r>
          </w:p>
        </w:tc>
        <w:tc>
          <w:tcPr>
            <w:tcW w:w="200" w:type="dxa"/>
            <w:vAlign w:val="bottom"/>
          </w:tcPr>
          <w:p>
            <w:pPr>
              <w:spacing w:after="0"/>
              <w:rPr>
                <w:sz w:val="22"/>
                <w:szCs w:val="22"/>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30,829,079</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00" w:type="dxa"/>
            <w:vAlign w:val="bottom"/>
            <w:shd w:val="clear" w:color="auto" w:fill="CCEEFF"/>
          </w:tcPr>
          <w:p>
            <w:pPr>
              <w:spacing w:after="0"/>
              <w:rPr>
                <w:sz w:val="22"/>
                <w:szCs w:val="22"/>
                <w:color w:val="auto"/>
              </w:rPr>
            </w:pP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Healthcare Technology</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28,737,966</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22"/>
                <w:szCs w:val="22"/>
                <w:color w:val="auto"/>
              </w:rPr>
            </w:pPr>
          </w:p>
        </w:tc>
      </w:tr>
      <w:tr>
        <w:trPr>
          <w:trHeight w:val="25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Internet Software &amp; Services</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24,779,724</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0" w:type="dxa"/>
            <w:vAlign w:val="bottom"/>
            <w:shd w:val="clear" w:color="auto" w:fill="CCEEFF"/>
          </w:tcPr>
          <w:p>
            <w:pPr>
              <w:spacing w:after="0"/>
              <w:rPr>
                <w:sz w:val="22"/>
                <w:szCs w:val="22"/>
                <w:color w:val="auto"/>
              </w:rPr>
            </w:pP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Education Services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17,694,233</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Pr>
          <w:p>
            <w:pPr>
              <w:spacing w:after="0"/>
              <w:rPr>
                <w:sz w:val="22"/>
                <w:szCs w:val="22"/>
                <w:color w:val="auto"/>
              </w:rPr>
            </w:pPr>
          </w:p>
        </w:tc>
      </w:tr>
      <w:tr>
        <w:trPr>
          <w:trHeight w:val="27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Computer &amp; Electronics Retail</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17,411,686</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spacing w:after="0"/>
              <w:rPr>
                <w:sz w:val="23"/>
                <w:szCs w:val="23"/>
                <w:color w:val="auto"/>
              </w:rPr>
            </w:pPr>
          </w:p>
        </w:tc>
      </w:tr>
      <w:tr>
        <w:trPr>
          <w:trHeight w:val="270"/>
        </w:trPr>
        <w:tc>
          <w:tcPr>
            <w:tcW w:w="5200" w:type="dxa"/>
            <w:vAlign w:val="bottom"/>
          </w:tcPr>
          <w:p>
            <w:pPr>
              <w:spacing w:after="0"/>
              <w:rPr>
                <w:sz w:val="20"/>
                <w:szCs w:val="20"/>
                <w:color w:val="auto"/>
              </w:rPr>
            </w:pPr>
            <w:r>
              <w:rPr>
                <w:rFonts w:ascii="Arial" w:cs="Arial" w:eastAsia="Arial" w:hAnsi="Arial"/>
                <w:sz w:val="18"/>
                <w:szCs w:val="18"/>
                <w:color w:val="auto"/>
              </w:rPr>
              <w:t>System Software</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14,736,735</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23"/>
                <w:szCs w:val="23"/>
                <w:color w:val="auto"/>
              </w:rPr>
            </w:pPr>
          </w:p>
        </w:tc>
      </w:tr>
      <w:tr>
        <w:trPr>
          <w:trHeight w:val="27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Specialized Consumer Services</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906,205</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spacing w:after="0"/>
              <w:rPr>
                <w:sz w:val="23"/>
                <w:szCs w:val="23"/>
                <w:color w:val="auto"/>
              </w:rPr>
            </w:pPr>
          </w:p>
        </w:tc>
      </w:tr>
      <w:tr>
        <w:trPr>
          <w:trHeight w:val="277"/>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Advertising</w:t>
            </w:r>
          </w:p>
        </w:tc>
        <w:tc>
          <w:tcPr>
            <w:tcW w:w="240" w:type="dxa"/>
            <w:vAlign w:val="bottom"/>
            <w:tcBorders>
              <w:bottom w:val="single" w:sz="8" w:color="CCEEFF"/>
            </w:tcBorders>
            <w:gridSpan w:val="2"/>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58,000</w:t>
            </w:r>
          </w:p>
        </w:tc>
        <w:tc>
          <w:tcPr>
            <w:tcW w:w="440" w:type="dxa"/>
            <w:vAlign w:val="bottom"/>
            <w:tcBorders>
              <w:bottom w:val="single" w:sz="8" w:color="CCEEFF"/>
            </w:tcBorders>
            <w:gridSpan w:val="3"/>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Borders>
              <w:bottom w:val="single" w:sz="8" w:color="CCEEFF"/>
            </w:tcBorders>
          </w:tcPr>
          <w:p>
            <w:pPr>
              <w:spacing w:after="0"/>
              <w:rPr>
                <w:sz w:val="24"/>
                <w:szCs w:val="24"/>
                <w:color w:val="auto"/>
              </w:rPr>
            </w:pPr>
          </w:p>
        </w:tc>
      </w:tr>
      <w:tr>
        <w:trPr>
          <w:trHeight w:val="277"/>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$368,016,276</w:t>
            </w: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97.80%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-4139565</wp:posOffset>
            </wp:positionV>
            <wp:extent cx="137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-4139565</wp:posOffset>
            </wp:positionV>
            <wp:extent cx="137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-213995</wp:posOffset>
            </wp:positionV>
            <wp:extent cx="47491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-2219325</wp:posOffset>
            </wp:positionV>
            <wp:extent cx="137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-2219325</wp:posOffset>
            </wp:positionV>
            <wp:extent cx="137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2018</w:t>
      </w:r>
    </w:p>
    <w:p>
      <w:pPr>
        <w:spacing w:after="0" w:line="243"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25"/>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w w:val="93"/>
              </w:rPr>
              <w:t>Portfolio Companies</w:t>
            </w:r>
          </w:p>
        </w:tc>
        <w:tc>
          <w:tcPr>
            <w:tcW w:w="15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Sub-Industry</w:t>
            </w:r>
          </w:p>
        </w:tc>
        <w:tc>
          <w:tcPr>
            <w:tcW w:w="14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1"/>
              </w:rPr>
              <w:t>Investment Description</w:t>
            </w:r>
          </w:p>
        </w:tc>
        <w:tc>
          <w:tcPr>
            <w:tcW w:w="900" w:type="dxa"/>
            <w:vAlign w:val="bottom"/>
          </w:tcPr>
          <w:p>
            <w:pPr>
              <w:jc w:val="right"/>
              <w:ind w:right="26"/>
              <w:spacing w:after="0"/>
              <w:rPr>
                <w:sz w:val="20"/>
                <w:szCs w:val="20"/>
                <w:color w:val="auto"/>
              </w:rPr>
            </w:pPr>
            <w:r>
              <w:rPr>
                <w:rFonts w:ascii="Arial" w:cs="Arial" w:eastAsia="Arial" w:hAnsi="Arial"/>
                <w:sz w:val="11"/>
                <w:szCs w:val="11"/>
                <w:b w:val="1"/>
                <w:bCs w:val="1"/>
                <w:color w:val="auto"/>
                <w:w w:val="87"/>
              </w:rPr>
              <w:t>(1),(5),(6),(11),(13)</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Acquisition</w:t>
            </w:r>
          </w:p>
        </w:tc>
        <w:tc>
          <w:tcPr>
            <w:tcW w:w="1020" w:type="dxa"/>
            <w:vAlign w:val="bottom"/>
          </w:tcPr>
          <w:p>
            <w:pPr>
              <w:jc w:val="right"/>
              <w:ind w:right="168"/>
              <w:spacing w:after="0"/>
              <w:rPr>
                <w:sz w:val="20"/>
                <w:szCs w:val="20"/>
                <w:color w:val="auto"/>
              </w:rPr>
            </w:pPr>
            <w:r>
              <w:rPr>
                <w:rFonts w:ascii="Arial" w:cs="Arial" w:eastAsia="Arial" w:hAnsi="Arial"/>
                <w:sz w:val="14"/>
                <w:szCs w:val="14"/>
                <w:b w:val="1"/>
                <w:bCs w:val="1"/>
                <w:color w:val="auto"/>
              </w:rPr>
              <w:t>Principal/</w:t>
            </w:r>
          </w:p>
        </w:tc>
        <w:tc>
          <w:tcPr>
            <w:tcW w:w="10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20" w:type="dxa"/>
            <w:vAlign w:val="bottom"/>
          </w:tcPr>
          <w:p>
            <w:pPr>
              <w:jc w:val="right"/>
              <w:ind w:right="69"/>
              <w:spacing w:after="0"/>
              <w:rPr>
                <w:sz w:val="20"/>
                <w:szCs w:val="20"/>
                <w:color w:val="auto"/>
              </w:rPr>
            </w:pPr>
            <w:r>
              <w:rPr>
                <w:rFonts w:ascii="Arial" w:cs="Arial" w:eastAsia="Arial" w:hAnsi="Arial"/>
                <w:sz w:val="11"/>
                <w:szCs w:val="11"/>
                <w:b w:val="1"/>
                <w:bCs w:val="1"/>
                <w:color w:val="auto"/>
              </w:rPr>
              <w:t>(2)</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1320" w:type="dxa"/>
            <w:vAlign w:val="bottom"/>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102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Shares</w:t>
            </w:r>
          </w:p>
        </w:tc>
        <w:tc>
          <w:tcPr>
            <w:tcW w:w="1000" w:type="dxa"/>
            <w:vAlign w:val="bottom"/>
            <w:vMerge w:val="continue"/>
          </w:tcPr>
          <w:p>
            <w:pPr>
              <w:spacing w:after="0"/>
              <w:rPr>
                <w:sz w:val="12"/>
                <w:szCs w:val="12"/>
                <w:color w:val="auto"/>
              </w:rPr>
            </w:pPr>
          </w:p>
        </w:tc>
        <w:tc>
          <w:tcPr>
            <w:tcW w:w="1020" w:type="dxa"/>
            <w:vAlign w:val="bottom"/>
          </w:tcPr>
          <w:p>
            <w:pPr>
              <w:jc w:val="right"/>
              <w:ind w:right="189"/>
              <w:spacing w:after="0" w:line="149" w:lineRule="exact"/>
              <w:rPr>
                <w:sz w:val="20"/>
                <w:szCs w:val="20"/>
                <w:color w:val="auto"/>
              </w:rPr>
            </w:pPr>
            <w:r>
              <w:rPr>
                <w:rFonts w:ascii="Arial" w:cs="Arial" w:eastAsia="Arial" w:hAnsi="Arial"/>
                <w:sz w:val="14"/>
                <w:szCs w:val="14"/>
                <w:b w:val="1"/>
                <w:bCs w:val="1"/>
                <w:color w:val="auto"/>
              </w:rPr>
              <w:t>Fair Value</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
        </w:trPr>
        <w:tc>
          <w:tcPr>
            <w:tcW w:w="1320" w:type="dxa"/>
            <w:vAlign w:val="bottom"/>
            <w:tcBorders>
              <w:right w:val="single" w:sz="8" w:color="CCEEFF"/>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Non-control/non-affiliate investments</w:t>
            </w:r>
          </w:p>
        </w:tc>
        <w:tc>
          <w:tcPr>
            <w:tcW w:w="14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320" w:type="dxa"/>
            <w:vAlign w:val="bottom"/>
            <w:tcBorders>
              <w:top w:val="single" w:sz="8" w:color="auto"/>
              <w:right w:val="single" w:sz="8" w:color="CCEEFF"/>
            </w:tcBorders>
            <w:shd w:val="clear" w:color="auto" w:fill="CCEEFF"/>
          </w:tcPr>
          <w:p>
            <w:pPr>
              <w:spacing w:after="0"/>
              <w:rPr>
                <w:sz w:val="5"/>
                <w:szCs w:val="5"/>
                <w:color w:val="auto"/>
              </w:rPr>
            </w:pPr>
          </w:p>
        </w:tc>
        <w:tc>
          <w:tcPr>
            <w:tcW w:w="9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CCEEFF"/>
              <w:right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right w:val="single" w:sz="8" w:color="CCEEFF"/>
            </w:tcBorders>
            <w:shd w:val="clear" w:color="auto" w:fill="CCEEFF"/>
          </w:tcPr>
          <w:p>
            <w:pPr>
              <w:spacing w:after="0"/>
              <w:rPr>
                <w:sz w:val="5"/>
                <w:szCs w:val="5"/>
                <w:color w:val="auto"/>
              </w:rPr>
            </w:pPr>
          </w:p>
        </w:tc>
        <w:tc>
          <w:tcPr>
            <w:tcW w:w="920" w:type="dxa"/>
            <w:vAlign w:val="bottom"/>
            <w:tcBorders>
              <w:top w:val="single" w:sz="8" w:color="CCEEFF"/>
              <w:right w:val="single" w:sz="8" w:color="CCEEFF"/>
            </w:tcBorders>
            <w:shd w:val="clear" w:color="auto" w:fill="CCEEFF"/>
          </w:tcPr>
          <w:p>
            <w:pPr>
              <w:spacing w:after="0"/>
              <w:rPr>
                <w:sz w:val="5"/>
                <w:szCs w:val="5"/>
                <w:color w:val="auto"/>
              </w:rPr>
            </w:pPr>
          </w:p>
        </w:tc>
        <w:tc>
          <w:tcPr>
            <w:tcW w:w="1020" w:type="dxa"/>
            <w:vAlign w:val="bottom"/>
            <w:tcBorders>
              <w:top w:val="single" w:sz="8" w:color="CCEEFF"/>
              <w:right w:val="single" w:sz="8" w:color="CCEEFF"/>
            </w:tcBorders>
            <w:shd w:val="clear" w:color="auto" w:fill="CCEEFF"/>
          </w:tcPr>
          <w:p>
            <w:pPr>
              <w:spacing w:after="0"/>
              <w:rPr>
                <w:sz w:val="5"/>
                <w:szCs w:val="5"/>
                <w:color w:val="auto"/>
              </w:rPr>
            </w:pPr>
          </w:p>
        </w:tc>
        <w:tc>
          <w:tcPr>
            <w:tcW w:w="1000" w:type="dxa"/>
            <w:vAlign w:val="bottom"/>
            <w:tcBorders>
              <w:top w:val="single" w:sz="8" w:color="CCEEFF"/>
              <w:right w:val="single" w:sz="8" w:color="CCEEFF"/>
            </w:tcBorders>
            <w:shd w:val="clear" w:color="auto" w:fill="CCEEFF"/>
          </w:tcPr>
          <w:p>
            <w:pPr>
              <w:spacing w:after="0"/>
              <w:rPr>
                <w:sz w:val="5"/>
                <w:szCs w:val="5"/>
                <w:color w:val="auto"/>
              </w:rPr>
            </w:pPr>
          </w:p>
        </w:tc>
        <w:tc>
          <w:tcPr>
            <w:tcW w:w="1020" w:type="dxa"/>
            <w:vAlign w:val="bottom"/>
            <w:tcBorders>
              <w:top w:val="single" w:sz="8" w:color="CCEEFF"/>
              <w:right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Senior Secured Term Loans</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38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Aginity, Inc.</w:t>
            </w:r>
          </w:p>
        </w:tc>
        <w:tc>
          <w:tcPr>
            <w:tcW w:w="1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Application Software</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LIBOR+9.5%, 11.5% floor,</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5/25/2018</w:t>
            </w:r>
          </w:p>
        </w:tc>
        <w:tc>
          <w:tcPr>
            <w:tcW w:w="102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$ 7,000,000</w:t>
            </w:r>
          </w:p>
        </w:tc>
        <w:tc>
          <w:tcPr>
            <w:tcW w:w="10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$ 6,795,581</w:t>
            </w:r>
          </w:p>
        </w:tc>
        <w:tc>
          <w:tcPr>
            <w:tcW w:w="102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$ 6,675,922</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215"/>
        </w:trPr>
        <w:tc>
          <w:tcPr>
            <w:tcW w:w="1320" w:type="dxa"/>
            <w:vAlign w:val="bottom"/>
            <w:tcBorders>
              <w:bottom w:val="single" w:sz="8" w:color="CCEEFF"/>
              <w:right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right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5% ETP, due 5/25/2022</w:t>
            </w:r>
          </w:p>
        </w:tc>
        <w:tc>
          <w:tcPr>
            <w:tcW w:w="900" w:type="dxa"/>
            <w:vAlign w:val="bottom"/>
            <w:tcBorders>
              <w:bottom w:val="single" w:sz="8" w:color="CCEEFF"/>
              <w:right w:val="single" w:sz="8" w:color="CCEEFF"/>
            </w:tcBorders>
            <w:shd w:val="clear" w:color="auto" w:fill="CCEEFF"/>
          </w:tcPr>
          <w:p>
            <w:pPr>
              <w:spacing w:after="0"/>
              <w:rPr>
                <w:sz w:val="18"/>
                <w:szCs w:val="18"/>
                <w:color w:val="auto"/>
              </w:rPr>
            </w:pP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40"/>
              <w:spacing w:after="0"/>
              <w:rPr>
                <w:sz w:val="20"/>
                <w:szCs w:val="20"/>
                <w:color w:val="auto"/>
              </w:rPr>
            </w:pPr>
            <w:r>
              <w:rPr>
                <w:rFonts w:ascii="Arial" w:cs="Arial" w:eastAsia="Arial" w:hAnsi="Arial"/>
                <w:sz w:val="14"/>
                <w:szCs w:val="14"/>
                <w:color w:val="auto"/>
              </w:rPr>
              <w:t>AllClear ID, Inc.</w:t>
            </w:r>
          </w:p>
        </w:tc>
        <w:tc>
          <w:tcPr>
            <w:tcW w:w="1500" w:type="dxa"/>
            <w:vAlign w:val="bottom"/>
            <w:gridSpan w:val="2"/>
          </w:tcPr>
          <w:p>
            <w:pPr>
              <w:spacing w:after="0"/>
              <w:rPr>
                <w:sz w:val="20"/>
                <w:szCs w:val="20"/>
                <w:color w:val="auto"/>
              </w:rPr>
            </w:pPr>
            <w:r>
              <w:rPr>
                <w:rFonts w:ascii="Arial" w:cs="Arial" w:eastAsia="Arial" w:hAnsi="Arial"/>
                <w:sz w:val="14"/>
                <w:szCs w:val="14"/>
                <w:color w:val="auto"/>
              </w:rPr>
              <w:t>Specialized Consumer</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Tranche I: LIBOR+10.75%,</w:t>
            </w: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9/1/2017</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10,000,00</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9,545,594</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9,841,798</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Services</w:t>
            </w:r>
          </w:p>
        </w:tc>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12.25% floor, 5% ETP, due</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rPr>
              <w:t>8/15/2021</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38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Tranche II: LIBOR+8.50%,</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10/17/2018</w:t>
            </w:r>
          </w:p>
        </w:tc>
        <w:tc>
          <w:tcPr>
            <w:tcW w:w="102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5,000,000</w:t>
            </w:r>
          </w:p>
        </w:tc>
        <w:tc>
          <w:tcPr>
            <w:tcW w:w="10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4,342,367</w:t>
            </w:r>
          </w:p>
        </w:tc>
        <w:tc>
          <w:tcPr>
            <w:tcW w:w="102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4,920,899</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48"/>
        </w:trPr>
        <w:tc>
          <w:tcPr>
            <w:tcW w:w="132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238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10.00% floor, 5% ETP, due</w:t>
            </w:r>
          </w:p>
        </w:tc>
        <w:tc>
          <w:tcPr>
            <w:tcW w:w="92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320" w:type="dxa"/>
            <w:vAlign w:val="bottom"/>
            <w:tcBorders>
              <w:bottom w:val="single" w:sz="8" w:color="CCEEFF"/>
              <w:right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right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8/15/2021</w:t>
            </w:r>
          </w:p>
        </w:tc>
        <w:tc>
          <w:tcPr>
            <w:tcW w:w="900" w:type="dxa"/>
            <w:vAlign w:val="bottom"/>
            <w:tcBorders>
              <w:bottom w:val="single" w:sz="8" w:color="CCEEFF"/>
              <w:right w:val="single" w:sz="8" w:color="CCEEFF"/>
            </w:tcBorders>
            <w:shd w:val="clear" w:color="auto" w:fill="CCEEFF"/>
          </w:tcPr>
          <w:p>
            <w:pPr>
              <w:spacing w:after="0"/>
              <w:rPr>
                <w:sz w:val="18"/>
                <w:szCs w:val="18"/>
                <w:color w:val="auto"/>
              </w:rPr>
            </w:pP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40"/>
              <w:spacing w:after="0"/>
              <w:rPr>
                <w:sz w:val="20"/>
                <w:szCs w:val="20"/>
                <w:color w:val="auto"/>
              </w:rPr>
            </w:pPr>
            <w:r>
              <w:rPr>
                <w:rFonts w:ascii="Arial" w:cs="Arial" w:eastAsia="Arial" w:hAnsi="Arial"/>
                <w:sz w:val="14"/>
                <w:szCs w:val="14"/>
                <w:color w:val="auto"/>
              </w:rPr>
              <w:t>Aria Systems, Inc.</w:t>
            </w:r>
          </w:p>
        </w:tc>
        <w:tc>
          <w:tcPr>
            <w:tcW w:w="1500" w:type="dxa"/>
            <w:vAlign w:val="bottom"/>
            <w:gridSpan w:val="2"/>
          </w:tcPr>
          <w:p>
            <w:pPr>
              <w:spacing w:after="0"/>
              <w:rPr>
                <w:sz w:val="20"/>
                <w:szCs w:val="20"/>
                <w:color w:val="auto"/>
              </w:rPr>
            </w:pPr>
            <w:r>
              <w:rPr>
                <w:rFonts w:ascii="Arial" w:cs="Arial" w:eastAsia="Arial" w:hAnsi="Arial"/>
                <w:sz w:val="14"/>
                <w:szCs w:val="14"/>
                <w:color w:val="auto"/>
              </w:rPr>
              <w:t>Application Software</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LIBOR+9.0%, 11.35% floor,</w:t>
            </w: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6/29/2018</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25,000,000</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24,305,208</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24,212,998</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14.46</w:t>
            </w: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w w:val="92"/>
              </w:rPr>
              <w:t>4% ETP, due 12/15/2021</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38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CareCloud</w:t>
            </w:r>
          </w:p>
        </w:tc>
        <w:tc>
          <w:tcPr>
            <w:tcW w:w="1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Healthcare Technology</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Prime+7.0%, 11.75% floor,</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6/19/2018</w:t>
            </w:r>
          </w:p>
        </w:tc>
        <w:tc>
          <w:tcPr>
            <w:tcW w:w="102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25,000,000</w:t>
            </w:r>
          </w:p>
        </w:tc>
        <w:tc>
          <w:tcPr>
            <w:tcW w:w="10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24,570,129</w:t>
            </w:r>
          </w:p>
        </w:tc>
        <w:tc>
          <w:tcPr>
            <w:tcW w:w="102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24,123,158</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14.41</w:t>
            </w:r>
          </w:p>
        </w:tc>
        <w:tc>
          <w:tcPr>
            <w:tcW w:w="0" w:type="dxa"/>
            <w:vAlign w:val="bottom"/>
          </w:tcPr>
          <w:p>
            <w:pPr>
              <w:spacing w:after="0"/>
              <w:rPr>
                <w:sz w:val="1"/>
                <w:szCs w:val="1"/>
                <w:color w:val="auto"/>
              </w:rPr>
            </w:pPr>
          </w:p>
        </w:tc>
      </w:tr>
      <w:tr>
        <w:trPr>
          <w:trHeight w:val="215"/>
        </w:trPr>
        <w:tc>
          <w:tcPr>
            <w:tcW w:w="1320" w:type="dxa"/>
            <w:vAlign w:val="bottom"/>
            <w:tcBorders>
              <w:bottom w:val="single" w:sz="8" w:color="CCEEFF"/>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Corporation</w:t>
            </w:r>
          </w:p>
        </w:tc>
        <w:tc>
          <w:tcPr>
            <w:tcW w:w="9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right w:val="single" w:sz="8" w:color="CCEEFF"/>
            </w:tcBorders>
            <w:shd w:val="clear" w:color="auto" w:fill="CCEEFF"/>
          </w:tcPr>
          <w:p>
            <w:pPr>
              <w:spacing w:after="0"/>
              <w:rPr>
                <w:sz w:val="18"/>
                <w:szCs w:val="18"/>
                <w:color w:val="auto"/>
              </w:rPr>
            </w:pPr>
          </w:p>
        </w:tc>
        <w:tc>
          <w:tcPr>
            <w:tcW w:w="238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3.5% ETP, due 6/15/2022</w:t>
            </w: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40"/>
              <w:spacing w:after="0"/>
              <w:rPr>
                <w:sz w:val="20"/>
                <w:szCs w:val="20"/>
                <w:color w:val="auto"/>
              </w:rPr>
            </w:pPr>
            <w:r>
              <w:rPr>
                <w:rFonts w:ascii="Arial" w:cs="Arial" w:eastAsia="Arial" w:hAnsi="Arial"/>
                <w:sz w:val="14"/>
                <w:szCs w:val="14"/>
                <w:color w:val="auto"/>
              </w:rPr>
              <w:t>Circadence</w:t>
            </w:r>
          </w:p>
        </w:tc>
        <w:tc>
          <w:tcPr>
            <w:tcW w:w="1500" w:type="dxa"/>
            <w:vAlign w:val="bottom"/>
            <w:gridSpan w:val="2"/>
          </w:tcPr>
          <w:p>
            <w:pPr>
              <w:spacing w:after="0"/>
              <w:rPr>
                <w:sz w:val="20"/>
                <w:szCs w:val="20"/>
                <w:color w:val="auto"/>
              </w:rPr>
            </w:pPr>
            <w:r>
              <w:rPr>
                <w:rFonts w:ascii="Arial" w:cs="Arial" w:eastAsia="Arial" w:hAnsi="Arial"/>
                <w:sz w:val="14"/>
                <w:szCs w:val="14"/>
                <w:color w:val="auto"/>
              </w:rPr>
              <w:t>Application Software</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LIBOR+9.50%, 12.0% floor,</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12/20/2018</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18,000,000</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14,239,085</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14,239,085</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82"/>
        </w:trPr>
        <w:tc>
          <w:tcPr>
            <w:tcW w:w="1320" w:type="dxa"/>
            <w:vAlign w:val="bottom"/>
          </w:tcPr>
          <w:p>
            <w:pPr>
              <w:ind w:left="280"/>
              <w:spacing w:after="0"/>
              <w:rPr>
                <w:sz w:val="20"/>
                <w:szCs w:val="20"/>
                <w:color w:val="auto"/>
              </w:rPr>
            </w:pPr>
            <w:r>
              <w:rPr>
                <w:rFonts w:ascii="Arial" w:cs="Arial" w:eastAsia="Arial" w:hAnsi="Arial"/>
                <w:sz w:val="14"/>
                <w:szCs w:val="14"/>
                <w:color w:val="auto"/>
              </w:rPr>
              <w:t>Corporation</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w w:val="96"/>
              </w:rPr>
              <w:t>5% ETP, due 6/20/2022</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38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Drawbridge, Inc.</w:t>
            </w:r>
          </w:p>
        </w:tc>
        <w:tc>
          <w:tcPr>
            <w:tcW w:w="1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Data Processing &amp;</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LIBOR+9.0%, 11.25% floor,</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10/22/2018</w:t>
            </w:r>
          </w:p>
        </w:tc>
        <w:tc>
          <w:tcPr>
            <w:tcW w:w="102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15,000,000</w:t>
            </w:r>
          </w:p>
        </w:tc>
        <w:tc>
          <w:tcPr>
            <w:tcW w:w="10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14,467,708</w:t>
            </w:r>
          </w:p>
        </w:tc>
        <w:tc>
          <w:tcPr>
            <w:tcW w:w="102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14,467,708</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215"/>
        </w:trPr>
        <w:tc>
          <w:tcPr>
            <w:tcW w:w="1320" w:type="dxa"/>
            <w:vAlign w:val="bottom"/>
            <w:tcBorders>
              <w:bottom w:val="single" w:sz="8" w:color="CCEEFF"/>
              <w:right w:val="single" w:sz="8" w:color="CCEEFF"/>
            </w:tcBorders>
            <w:shd w:val="clear" w:color="auto" w:fill="CCEEFF"/>
          </w:tcPr>
          <w:p>
            <w:pPr>
              <w:spacing w:after="0"/>
              <w:rPr>
                <w:sz w:val="18"/>
                <w:szCs w:val="18"/>
                <w:color w:val="auto"/>
              </w:rPr>
            </w:pPr>
          </w:p>
        </w:tc>
        <w:tc>
          <w:tcPr>
            <w:tcW w:w="15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Outsourced Services</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2"/>
              </w:rPr>
              <w:t>4% ETP, due 10/22/2022</w:t>
            </w:r>
          </w:p>
        </w:tc>
        <w:tc>
          <w:tcPr>
            <w:tcW w:w="900" w:type="dxa"/>
            <w:vAlign w:val="bottom"/>
            <w:tcBorders>
              <w:bottom w:val="single" w:sz="8" w:color="CCEEFF"/>
              <w:right w:val="single" w:sz="8" w:color="CCEEFF"/>
            </w:tcBorders>
            <w:shd w:val="clear" w:color="auto" w:fill="CCEEFF"/>
          </w:tcPr>
          <w:p>
            <w:pPr>
              <w:spacing w:after="0"/>
              <w:rPr>
                <w:sz w:val="18"/>
                <w:szCs w:val="18"/>
                <w:color w:val="auto"/>
              </w:rPr>
            </w:pP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820" w:type="dxa"/>
            <w:vAlign w:val="bottom"/>
            <w:gridSpan w:val="3"/>
          </w:tcPr>
          <w:p>
            <w:pPr>
              <w:ind w:left="140"/>
              <w:spacing w:after="0"/>
              <w:rPr>
                <w:sz w:val="20"/>
                <w:szCs w:val="20"/>
                <w:color w:val="auto"/>
              </w:rPr>
            </w:pPr>
            <w:r>
              <w:rPr>
                <w:rFonts w:ascii="Arial" w:cs="Arial" w:eastAsia="Arial" w:hAnsi="Arial"/>
                <w:sz w:val="14"/>
                <w:szCs w:val="14"/>
                <w:color w:val="auto"/>
              </w:rPr>
              <w:t>Dtex Systems, Inc. Application Software</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LIBOR+9.15%, 11.5% floor,</w:t>
            </w: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6/1/2018</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8,000,000</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7,938,983</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7,887,407</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11.5% cash cap, 4% ETP, due</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rPr>
              <w:t>11/15/2021</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38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eSilicon</w:t>
            </w:r>
          </w:p>
        </w:tc>
        <w:tc>
          <w:tcPr>
            <w:tcW w:w="1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Semiconductors</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Tranche I: LIBOR+10.5%,</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7/31/2017</w:t>
            </w:r>
          </w:p>
        </w:tc>
        <w:tc>
          <w:tcPr>
            <w:tcW w:w="102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7,916,667</w:t>
            </w:r>
          </w:p>
        </w:tc>
        <w:tc>
          <w:tcPr>
            <w:tcW w:w="10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7,976,198</w:t>
            </w:r>
          </w:p>
        </w:tc>
        <w:tc>
          <w:tcPr>
            <w:tcW w:w="102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8,227,697</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48"/>
        </w:trPr>
        <w:tc>
          <w:tcPr>
            <w:tcW w:w="132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Corporation</w:t>
            </w:r>
          </w:p>
        </w:tc>
        <w:tc>
          <w:tcPr>
            <w:tcW w:w="9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238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11.5% floor, 5% ETP, due</w:t>
            </w:r>
          </w:p>
        </w:tc>
        <w:tc>
          <w:tcPr>
            <w:tcW w:w="92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320" w:type="dxa"/>
            <w:vAlign w:val="bottom"/>
            <w:tcBorders>
              <w:bottom w:val="single" w:sz="8" w:color="CCEEFF"/>
              <w:right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right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7/15/2020</w:t>
            </w:r>
          </w:p>
        </w:tc>
        <w:tc>
          <w:tcPr>
            <w:tcW w:w="900" w:type="dxa"/>
            <w:vAlign w:val="bottom"/>
            <w:tcBorders>
              <w:bottom w:val="single" w:sz="8" w:color="CCEEFF"/>
              <w:right w:val="single" w:sz="8" w:color="CCEEFF"/>
            </w:tcBorders>
            <w:shd w:val="clear" w:color="auto" w:fill="CCEEFF"/>
          </w:tcPr>
          <w:p>
            <w:pPr>
              <w:spacing w:after="0"/>
              <w:rPr>
                <w:sz w:val="18"/>
                <w:szCs w:val="18"/>
                <w:color w:val="auto"/>
              </w:rPr>
            </w:pP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Tranche II: LIBOR+10.5%,</w:t>
            </w: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2/8/2018</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5,000,000</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5,063,065</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5,196,440</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11.5% floor, 5% ETP, due</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rPr>
              <w:t>1/15/2021</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38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Jibe, Inc.</w:t>
            </w:r>
          </w:p>
        </w:tc>
        <w:tc>
          <w:tcPr>
            <w:tcW w:w="1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Application Software</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LIBOR+10.0%, 12.25% floor,</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6/7/2018</w:t>
            </w:r>
          </w:p>
        </w:tc>
        <w:tc>
          <w:tcPr>
            <w:tcW w:w="102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7,000,000</w:t>
            </w:r>
          </w:p>
        </w:tc>
        <w:tc>
          <w:tcPr>
            <w:tcW w:w="10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6,951,535</w:t>
            </w:r>
          </w:p>
        </w:tc>
        <w:tc>
          <w:tcPr>
            <w:tcW w:w="102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6,951,535</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15"/>
        </w:trPr>
        <w:tc>
          <w:tcPr>
            <w:tcW w:w="1320" w:type="dxa"/>
            <w:vAlign w:val="bottom"/>
            <w:tcBorders>
              <w:bottom w:val="single" w:sz="8" w:color="CCEEFF"/>
              <w:right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right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5% ETP, due 6/7/2022</w:t>
            </w:r>
          </w:p>
        </w:tc>
        <w:tc>
          <w:tcPr>
            <w:tcW w:w="900" w:type="dxa"/>
            <w:vAlign w:val="bottom"/>
            <w:tcBorders>
              <w:bottom w:val="single" w:sz="8" w:color="CCEEFF"/>
              <w:right w:val="single" w:sz="8" w:color="CCEEFF"/>
            </w:tcBorders>
            <w:shd w:val="clear" w:color="auto" w:fill="CCEEFF"/>
          </w:tcPr>
          <w:p>
            <w:pPr>
              <w:spacing w:after="0"/>
              <w:rPr>
                <w:sz w:val="18"/>
                <w:szCs w:val="18"/>
                <w:color w:val="auto"/>
              </w:rPr>
            </w:pP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40"/>
              <w:spacing w:after="0"/>
              <w:rPr>
                <w:sz w:val="20"/>
                <w:szCs w:val="20"/>
                <w:color w:val="auto"/>
              </w:rPr>
            </w:pPr>
            <w:r>
              <w:rPr>
                <w:rFonts w:ascii="Arial" w:cs="Arial" w:eastAsia="Arial" w:hAnsi="Arial"/>
                <w:sz w:val="14"/>
                <w:szCs w:val="14"/>
                <w:color w:val="auto"/>
              </w:rPr>
              <w:t>MingleHealth</w:t>
            </w:r>
          </w:p>
        </w:tc>
        <w:tc>
          <w:tcPr>
            <w:tcW w:w="1500" w:type="dxa"/>
            <w:vAlign w:val="bottom"/>
            <w:gridSpan w:val="2"/>
          </w:tcPr>
          <w:p>
            <w:pPr>
              <w:spacing w:after="0"/>
              <w:rPr>
                <w:sz w:val="20"/>
                <w:szCs w:val="20"/>
                <w:color w:val="auto"/>
              </w:rPr>
            </w:pPr>
            <w:r>
              <w:rPr>
                <w:rFonts w:ascii="Arial" w:cs="Arial" w:eastAsia="Arial" w:hAnsi="Arial"/>
                <w:sz w:val="14"/>
                <w:szCs w:val="14"/>
                <w:color w:val="auto"/>
              </w:rPr>
              <w:t>Healthcare Technology</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LIBOR+9.5%, 11.75% floor,</w:t>
            </w: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8/15/2018</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6,000,000</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5,532,093</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5,532,093</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9"/>
        </w:trPr>
        <w:tc>
          <w:tcPr>
            <w:tcW w:w="1320" w:type="dxa"/>
            <w:vAlign w:val="bottom"/>
          </w:tcPr>
          <w:p>
            <w:pPr>
              <w:ind w:left="280"/>
              <w:spacing w:after="0" w:line="149" w:lineRule="exact"/>
              <w:rPr>
                <w:sz w:val="20"/>
                <w:szCs w:val="20"/>
                <w:color w:val="auto"/>
              </w:rPr>
            </w:pPr>
            <w:r>
              <w:rPr>
                <w:rFonts w:ascii="Arial" w:cs="Arial" w:eastAsia="Arial" w:hAnsi="Arial"/>
                <w:sz w:val="14"/>
                <w:szCs w:val="14"/>
                <w:color w:val="auto"/>
              </w:rPr>
              <w:t>Care Solutions,</w:t>
            </w: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tcPr>
          <w:p>
            <w:pPr>
              <w:ind w:left="20"/>
              <w:spacing w:after="0" w:line="149" w:lineRule="exact"/>
              <w:rPr>
                <w:sz w:val="20"/>
                <w:szCs w:val="20"/>
                <w:color w:val="auto"/>
              </w:rPr>
            </w:pPr>
            <w:r>
              <w:rPr>
                <w:rFonts w:ascii="Arial" w:cs="Arial" w:eastAsia="Arial" w:hAnsi="Arial"/>
                <w:sz w:val="14"/>
                <w:szCs w:val="14"/>
                <w:color w:val="auto"/>
                <w:w w:val="96"/>
              </w:rPr>
              <w:t>4% ETP, due 8/15/2022</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ind w:left="280"/>
              <w:spacing w:after="0"/>
              <w:rPr>
                <w:sz w:val="20"/>
                <w:szCs w:val="20"/>
                <w:color w:val="auto"/>
              </w:rPr>
            </w:pPr>
            <w:r>
              <w:rPr>
                <w:rFonts w:ascii="Arial" w:cs="Arial" w:eastAsia="Arial" w:hAnsi="Arial"/>
                <w:sz w:val="14"/>
                <w:szCs w:val="14"/>
                <w:color w:val="auto"/>
              </w:rPr>
              <w:t>Inc.</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38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Mobius Imaging,</w:t>
            </w:r>
          </w:p>
        </w:tc>
        <w:tc>
          <w:tcPr>
            <w:tcW w:w="1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Healthcare Technology</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LIBOR+9.25%, 11% floor,</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11/23/2018</w:t>
            </w:r>
          </w:p>
        </w:tc>
        <w:tc>
          <w:tcPr>
            <w:tcW w:w="102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15,500,000</w:t>
            </w:r>
          </w:p>
        </w:tc>
        <w:tc>
          <w:tcPr>
            <w:tcW w:w="10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13,551,386</w:t>
            </w:r>
          </w:p>
        </w:tc>
        <w:tc>
          <w:tcPr>
            <w:tcW w:w="102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13,551,386</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215"/>
        </w:trPr>
        <w:tc>
          <w:tcPr>
            <w:tcW w:w="1320" w:type="dxa"/>
            <w:vAlign w:val="bottom"/>
            <w:tcBorders>
              <w:bottom w:val="single" w:sz="8" w:color="CCEEFF"/>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LLC</w:t>
            </w:r>
          </w:p>
        </w:tc>
        <w:tc>
          <w:tcPr>
            <w:tcW w:w="9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right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2"/>
              </w:rPr>
              <w:t>4% ETP, due 10/15/2022</w:t>
            </w:r>
          </w:p>
        </w:tc>
        <w:tc>
          <w:tcPr>
            <w:tcW w:w="900" w:type="dxa"/>
            <w:vAlign w:val="bottom"/>
            <w:tcBorders>
              <w:bottom w:val="single" w:sz="8" w:color="CCEEFF"/>
              <w:right w:val="single" w:sz="8" w:color="CCEEFF"/>
            </w:tcBorders>
            <w:shd w:val="clear" w:color="auto" w:fill="CCEEFF"/>
          </w:tcPr>
          <w:p>
            <w:pPr>
              <w:spacing w:after="0"/>
              <w:rPr>
                <w:sz w:val="18"/>
                <w:szCs w:val="18"/>
                <w:color w:val="auto"/>
              </w:rPr>
            </w:pP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40"/>
              <w:spacing w:after="0"/>
              <w:rPr>
                <w:sz w:val="20"/>
                <w:szCs w:val="20"/>
                <w:color w:val="auto"/>
              </w:rPr>
            </w:pPr>
            <w:r>
              <w:rPr>
                <w:rFonts w:ascii="Arial" w:cs="Arial" w:eastAsia="Arial" w:hAnsi="Arial"/>
                <w:sz w:val="14"/>
                <w:szCs w:val="14"/>
                <w:color w:val="auto"/>
              </w:rPr>
              <w:t>Mojix, Inc.</w:t>
            </w:r>
          </w:p>
        </w:tc>
        <w:tc>
          <w:tcPr>
            <w:tcW w:w="1500" w:type="dxa"/>
            <w:vAlign w:val="bottom"/>
            <w:gridSpan w:val="2"/>
          </w:tcPr>
          <w:p>
            <w:pPr>
              <w:spacing w:after="0"/>
              <w:rPr>
                <w:sz w:val="20"/>
                <w:szCs w:val="20"/>
                <w:color w:val="auto"/>
              </w:rPr>
            </w:pPr>
            <w:r>
              <w:rPr>
                <w:rFonts w:ascii="Arial" w:cs="Arial" w:eastAsia="Arial" w:hAnsi="Arial"/>
                <w:sz w:val="14"/>
                <w:szCs w:val="14"/>
                <w:color w:val="auto"/>
              </w:rPr>
              <w:t>Application Software</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Tranche I: LIBOR+10.5%,</w:t>
            </w: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5/16/2017</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6,034,383</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5,514,492</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5,200,452</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40"/>
        </w:trPr>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80" w:type="dxa"/>
            <w:vAlign w:val="bottom"/>
            <w:gridSpan w:val="2"/>
          </w:tcPr>
          <w:p>
            <w:pPr>
              <w:ind w:left="20"/>
              <w:spacing w:after="0" w:line="141" w:lineRule="exact"/>
              <w:rPr>
                <w:sz w:val="20"/>
                <w:szCs w:val="20"/>
                <w:color w:val="auto"/>
              </w:rPr>
            </w:pPr>
            <w:r>
              <w:rPr>
                <w:rFonts w:ascii="Arial" w:cs="Arial" w:eastAsia="Arial" w:hAnsi="Arial"/>
                <w:sz w:val="14"/>
                <w:szCs w:val="14"/>
                <w:color w:val="auto"/>
              </w:rPr>
              <w:t>11% floor, 12.0% cash cap,</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5% ETP, due 5/15/2021</w:t>
            </w:r>
            <w:r>
              <w:rPr>
                <w:rFonts w:ascii="Arial" w:cs="Arial" w:eastAsia="Arial" w:hAnsi="Arial"/>
                <w:sz w:val="21"/>
                <w:szCs w:val="21"/>
                <w:color w:val="auto"/>
                <w:vertAlign w:val="superscript"/>
              </w:rPr>
              <w:t>(4),(9)</w:t>
            </w:r>
          </w:p>
        </w:tc>
        <w:tc>
          <w:tcPr>
            <w:tcW w:w="9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Tranche II: LIBOR+10.5%,</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8/3/2017</w:t>
            </w:r>
          </w:p>
        </w:tc>
        <w:tc>
          <w:tcPr>
            <w:tcW w:w="102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2,011,462</w:t>
            </w:r>
          </w:p>
        </w:tc>
        <w:tc>
          <w:tcPr>
            <w:tcW w:w="10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1,845,251</w:t>
            </w:r>
          </w:p>
        </w:tc>
        <w:tc>
          <w:tcPr>
            <w:tcW w:w="102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1,733,484</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0"/>
        </w:trPr>
        <w:tc>
          <w:tcPr>
            <w:tcW w:w="132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2380" w:type="dxa"/>
            <w:vAlign w:val="bottom"/>
            <w:tcBorders>
              <w:right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4"/>
                <w:szCs w:val="14"/>
                <w:color w:val="auto"/>
              </w:rPr>
              <w:t>11% floor, 12.0% cash cap,</w:t>
            </w:r>
          </w:p>
        </w:tc>
        <w:tc>
          <w:tcPr>
            <w:tcW w:w="92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320" w:type="dxa"/>
            <w:vAlign w:val="bottom"/>
            <w:tcBorders>
              <w:right w:val="single" w:sz="8" w:color="CCEEFF"/>
            </w:tcBorders>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spacing w:after="0"/>
              <w:rPr>
                <w:sz w:val="22"/>
                <w:szCs w:val="22"/>
                <w:color w:val="auto"/>
              </w:rPr>
            </w:pP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5% ETP, due 5/15/2021</w:t>
            </w:r>
            <w:r>
              <w:rPr>
                <w:rFonts w:ascii="Arial" w:cs="Arial" w:eastAsia="Arial" w:hAnsi="Arial"/>
                <w:sz w:val="21"/>
                <w:szCs w:val="21"/>
                <w:color w:val="auto"/>
                <w:vertAlign w:val="superscript"/>
              </w:rPr>
              <w:t>(4),(9)</w:t>
            </w:r>
          </w:p>
        </w:tc>
        <w:tc>
          <w:tcPr>
            <w:tcW w:w="920" w:type="dxa"/>
            <w:vAlign w:val="bottom"/>
            <w:tcBorders>
              <w:right w:val="single" w:sz="8" w:color="CCEEFF"/>
            </w:tcBorders>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Tranche III: LIBOR+10.5%,</w:t>
            </w: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7/6/2018</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502,357</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465,516</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432,933</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40"/>
        </w:trPr>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80" w:type="dxa"/>
            <w:vAlign w:val="bottom"/>
            <w:gridSpan w:val="2"/>
          </w:tcPr>
          <w:p>
            <w:pPr>
              <w:ind w:left="20"/>
              <w:spacing w:after="0" w:line="141" w:lineRule="exact"/>
              <w:rPr>
                <w:sz w:val="20"/>
                <w:szCs w:val="20"/>
                <w:color w:val="auto"/>
              </w:rPr>
            </w:pPr>
            <w:r>
              <w:rPr>
                <w:rFonts w:ascii="Arial" w:cs="Arial" w:eastAsia="Arial" w:hAnsi="Arial"/>
                <w:sz w:val="14"/>
                <w:szCs w:val="14"/>
                <w:color w:val="auto"/>
              </w:rPr>
              <w:t>11% floor, 12.0% cash cap,</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5% ETP, due 5/15/2021</w:t>
            </w:r>
            <w:r>
              <w:rPr>
                <w:rFonts w:ascii="Arial" w:cs="Arial" w:eastAsia="Arial" w:hAnsi="Arial"/>
                <w:sz w:val="21"/>
                <w:szCs w:val="21"/>
                <w:color w:val="auto"/>
                <w:vertAlign w:val="superscript"/>
              </w:rPr>
              <w:t>(4),(9)</w:t>
            </w:r>
          </w:p>
        </w:tc>
        <w:tc>
          <w:tcPr>
            <w:tcW w:w="9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Tranche IV: LIBOR+10.5%,</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9/5/2018</w:t>
            </w:r>
          </w:p>
        </w:tc>
        <w:tc>
          <w:tcPr>
            <w:tcW w:w="102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501,656</w:t>
            </w:r>
          </w:p>
        </w:tc>
        <w:tc>
          <w:tcPr>
            <w:tcW w:w="10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462,652</w:t>
            </w:r>
          </w:p>
        </w:tc>
        <w:tc>
          <w:tcPr>
            <w:tcW w:w="102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432,329</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40"/>
        </w:trPr>
        <w:tc>
          <w:tcPr>
            <w:tcW w:w="132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2380" w:type="dxa"/>
            <w:vAlign w:val="bottom"/>
            <w:tcBorders>
              <w:right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4"/>
                <w:szCs w:val="14"/>
                <w:color w:val="auto"/>
              </w:rPr>
              <w:t>11% floor, 12.0% cash cap,</w:t>
            </w:r>
          </w:p>
        </w:tc>
        <w:tc>
          <w:tcPr>
            <w:tcW w:w="92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320" w:type="dxa"/>
            <w:vAlign w:val="bottom"/>
            <w:tcBorders>
              <w:right w:val="single" w:sz="8" w:color="CCEEFF"/>
            </w:tcBorders>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spacing w:after="0"/>
              <w:rPr>
                <w:sz w:val="22"/>
                <w:szCs w:val="22"/>
                <w:color w:val="auto"/>
              </w:rPr>
            </w:pP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5% ETP, due 5/15/2021</w:t>
            </w:r>
            <w:r>
              <w:rPr>
                <w:rFonts w:ascii="Arial" w:cs="Arial" w:eastAsia="Arial" w:hAnsi="Arial"/>
                <w:sz w:val="21"/>
                <w:szCs w:val="21"/>
                <w:color w:val="auto"/>
                <w:vertAlign w:val="superscript"/>
              </w:rPr>
              <w:t>(4),(9)</w:t>
            </w:r>
          </w:p>
        </w:tc>
        <w:tc>
          <w:tcPr>
            <w:tcW w:w="920" w:type="dxa"/>
            <w:vAlign w:val="bottom"/>
            <w:tcBorders>
              <w:right w:val="single" w:sz="8" w:color="CCEEFF"/>
            </w:tcBorders>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40"/>
              <w:spacing w:after="0"/>
              <w:rPr>
                <w:sz w:val="20"/>
                <w:szCs w:val="20"/>
                <w:color w:val="auto"/>
              </w:rPr>
            </w:pPr>
            <w:r>
              <w:rPr>
                <w:rFonts w:ascii="Arial" w:cs="Arial" w:eastAsia="Arial" w:hAnsi="Arial"/>
                <w:sz w:val="14"/>
                <w:szCs w:val="14"/>
                <w:color w:val="auto"/>
              </w:rPr>
              <w:t>3DNA Corp.(dba</w:t>
            </w:r>
          </w:p>
        </w:tc>
        <w:tc>
          <w:tcPr>
            <w:tcW w:w="1500" w:type="dxa"/>
            <w:vAlign w:val="bottom"/>
            <w:gridSpan w:val="2"/>
          </w:tcPr>
          <w:p>
            <w:pPr>
              <w:spacing w:after="0"/>
              <w:rPr>
                <w:sz w:val="20"/>
                <w:szCs w:val="20"/>
                <w:color w:val="auto"/>
              </w:rPr>
            </w:pPr>
            <w:r>
              <w:rPr>
                <w:rFonts w:ascii="Arial" w:cs="Arial" w:eastAsia="Arial" w:hAnsi="Arial"/>
                <w:sz w:val="14"/>
                <w:szCs w:val="14"/>
                <w:color w:val="auto"/>
              </w:rPr>
              <w:t>Application Software</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LIBOR+9%, 11.5% floor,</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12/28/2018</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7,000,000</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6,827,787</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6,827,787</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82"/>
        </w:trPr>
        <w:tc>
          <w:tcPr>
            <w:tcW w:w="1320" w:type="dxa"/>
            <w:vAlign w:val="bottom"/>
          </w:tcPr>
          <w:p>
            <w:pPr>
              <w:ind w:left="280"/>
              <w:spacing w:after="0"/>
              <w:rPr>
                <w:sz w:val="20"/>
                <w:szCs w:val="20"/>
                <w:color w:val="auto"/>
              </w:rPr>
            </w:pPr>
            <w:r>
              <w:rPr>
                <w:rFonts w:ascii="Arial" w:cs="Arial" w:eastAsia="Arial" w:hAnsi="Arial"/>
                <w:sz w:val="14"/>
                <w:szCs w:val="14"/>
                <w:color w:val="auto"/>
              </w:rPr>
              <w:t>NationBuilder)</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w w:val="96"/>
              </w:rPr>
              <w:t>5% ETP, due 4/28/2022</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38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Ouster, Inc.</w:t>
            </w:r>
          </w:p>
        </w:tc>
        <w:tc>
          <w:tcPr>
            <w:tcW w:w="1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Technology Hardware,</w:t>
            </w:r>
          </w:p>
        </w:tc>
        <w:tc>
          <w:tcPr>
            <w:tcW w:w="2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LIBOR+8.5%, 10.75% floor,</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11/27/2018</w:t>
            </w:r>
          </w:p>
        </w:tc>
        <w:tc>
          <w:tcPr>
            <w:tcW w:w="102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10,000,000</w:t>
            </w:r>
          </w:p>
        </w:tc>
        <w:tc>
          <w:tcPr>
            <w:tcW w:w="10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320" w:type="dxa"/>
            <w:vAlign w:val="bottom"/>
            <w:tcBorders>
              <w:right w:val="single" w:sz="8" w:color="CCEEFF"/>
            </w:tcBorders>
            <w:shd w:val="clear" w:color="auto" w:fill="CCEEFF"/>
          </w:tcPr>
          <w:p>
            <w:pPr>
              <w:spacing w:after="0"/>
              <w:rPr>
                <w:sz w:val="19"/>
                <w:szCs w:val="19"/>
                <w:color w:val="auto"/>
              </w:rPr>
            </w:pPr>
          </w:p>
        </w:tc>
        <w:tc>
          <w:tcPr>
            <w:tcW w:w="1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Storage &amp; Peripherals</w:t>
            </w:r>
          </w:p>
        </w:tc>
        <w:tc>
          <w:tcPr>
            <w:tcW w:w="2380" w:type="dxa"/>
            <w:vAlign w:val="bottom"/>
            <w:tcBorders>
              <w:right w:val="single" w:sz="8" w:color="CCEEFF"/>
            </w:tcBorders>
            <w:gridSpan w:val="2"/>
            <w:shd w:val="clear" w:color="auto" w:fill="CCEEFF"/>
          </w:tcPr>
          <w:p>
            <w:pPr>
              <w:ind w:left="20"/>
              <w:spacing w:after="0" w:line="230" w:lineRule="exact"/>
              <w:rPr>
                <w:sz w:val="20"/>
                <w:szCs w:val="20"/>
                <w:color w:val="auto"/>
              </w:rPr>
            </w:pPr>
            <w:r>
              <w:rPr>
                <w:rFonts w:ascii="Arial" w:cs="Arial" w:eastAsia="Arial" w:hAnsi="Arial"/>
                <w:sz w:val="14"/>
                <w:szCs w:val="14"/>
                <w:color w:val="auto"/>
              </w:rPr>
              <w:t>3.5% ETP, due 05/15/2021</w:t>
            </w:r>
            <w:r>
              <w:rPr>
                <w:rFonts w:ascii="Arial" w:cs="Arial" w:eastAsia="Arial" w:hAnsi="Arial"/>
                <w:sz w:val="21"/>
                <w:szCs w:val="21"/>
                <w:color w:val="auto"/>
                <w:vertAlign w:val="superscript"/>
              </w:rPr>
              <w:t>(14)</w:t>
            </w:r>
          </w:p>
        </w:tc>
        <w:tc>
          <w:tcPr>
            <w:tcW w:w="920" w:type="dxa"/>
            <w:vAlign w:val="bottom"/>
            <w:tcBorders>
              <w:right w:val="single" w:sz="8" w:color="CCEEFF"/>
            </w:tcBorders>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-6188710</wp:posOffset>
            </wp:positionV>
            <wp:extent cx="342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-6188710</wp:posOffset>
            </wp:positionV>
            <wp:extent cx="342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-6188710</wp:posOffset>
            </wp:positionV>
            <wp:extent cx="342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-6188710</wp:posOffset>
            </wp:positionV>
            <wp:extent cx="342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-6188710</wp:posOffset>
            </wp:positionV>
            <wp:extent cx="34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-6188710</wp:posOffset>
            </wp:positionV>
            <wp:extent cx="342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-6188710</wp:posOffset>
            </wp:positionV>
            <wp:extent cx="342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4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sectPr>
      </w:pPr>
    </w:p>
    <w:bookmarkStart w:id="87" w:name="page88"/>
    <w:bookmarkEnd w:id="87"/>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December 31, 2018</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jc w:val="center"/>
              <w:ind w:left="4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25"/>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2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Sub-Industry</w:t>
            </w:r>
          </w:p>
        </w:tc>
        <w:tc>
          <w:tcPr>
            <w:tcW w:w="164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1"/>
              </w:rPr>
              <w:t>Investment Description</w:t>
            </w:r>
          </w:p>
        </w:tc>
        <w:tc>
          <w:tcPr>
            <w:tcW w:w="900" w:type="dxa"/>
            <w:vAlign w:val="bottom"/>
          </w:tcPr>
          <w:p>
            <w:pPr>
              <w:jc w:val="right"/>
              <w:ind w:right="26"/>
              <w:spacing w:after="0"/>
              <w:rPr>
                <w:sz w:val="20"/>
                <w:szCs w:val="20"/>
                <w:color w:val="auto"/>
              </w:rPr>
            </w:pPr>
            <w:r>
              <w:rPr>
                <w:rFonts w:ascii="Arial" w:cs="Arial" w:eastAsia="Arial" w:hAnsi="Arial"/>
                <w:sz w:val="11"/>
                <w:szCs w:val="11"/>
                <w:b w:val="1"/>
                <w:bCs w:val="1"/>
                <w:color w:val="auto"/>
                <w:w w:val="87"/>
              </w:rPr>
              <w:t>(1),(5),(6),(11),(13)</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Acquisition</w:t>
            </w: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Principal/</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140" w:type="dxa"/>
            <w:vAlign w:val="bottom"/>
          </w:tcPr>
          <w:p>
            <w:pPr>
              <w:jc w:val="right"/>
              <w:ind w:right="57"/>
              <w:spacing w:after="0"/>
              <w:rPr>
                <w:sz w:val="20"/>
                <w:szCs w:val="20"/>
                <w:color w:val="auto"/>
              </w:rPr>
            </w:pPr>
            <w:r>
              <w:rPr>
                <w:rFonts w:ascii="Arial" w:cs="Arial" w:eastAsia="Arial" w:hAnsi="Arial"/>
                <w:sz w:val="11"/>
                <w:szCs w:val="11"/>
                <w:b w:val="1"/>
                <w:bCs w:val="1"/>
                <w:color w:val="auto"/>
              </w:rPr>
              <w:t>(2)</w:t>
            </w:r>
          </w:p>
        </w:tc>
        <w:tc>
          <w:tcPr>
            <w:tcW w:w="500" w:type="dxa"/>
            <w:vAlign w:val="bottom"/>
          </w:tcPr>
          <w:p>
            <w:pPr>
              <w:ind w:left="1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6"/>
        </w:trPr>
        <w:tc>
          <w:tcPr>
            <w:tcW w:w="14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vMerge w:val="continue"/>
          </w:tcPr>
          <w:p>
            <w:pPr>
              <w:spacing w:after="0"/>
              <w:rPr>
                <w:sz w:val="16"/>
                <w:szCs w:val="16"/>
                <w:color w:val="auto"/>
              </w:rPr>
            </w:pPr>
          </w:p>
        </w:tc>
        <w:tc>
          <w:tcPr>
            <w:tcW w:w="1140" w:type="dxa"/>
            <w:vAlign w:val="bottom"/>
          </w:tcPr>
          <w:p>
            <w:pPr>
              <w:jc w:val="right"/>
              <w:ind w:right="177"/>
              <w:spacing w:after="0"/>
              <w:rPr>
                <w:sz w:val="20"/>
                <w:szCs w:val="20"/>
                <w:color w:val="auto"/>
              </w:rPr>
            </w:pPr>
            <w:r>
              <w:rPr>
                <w:rFonts w:ascii="Arial" w:cs="Arial" w:eastAsia="Arial" w:hAnsi="Arial"/>
                <w:sz w:val="14"/>
                <w:szCs w:val="14"/>
                <w:b w:val="1"/>
                <w:bCs w:val="1"/>
                <w:color w:val="auto"/>
              </w:rPr>
              <w:t>Fair Value</w:t>
            </w:r>
          </w:p>
        </w:tc>
        <w:tc>
          <w:tcPr>
            <w:tcW w:w="500" w:type="dxa"/>
            <w:vAlign w:val="bottom"/>
          </w:tcPr>
          <w:p>
            <w:pPr>
              <w:jc w:val="center"/>
              <w:ind w:left="4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6180455"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80455" cy="17145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b w:val="1"/>
          <w:bCs w:val="1"/>
          <w:u w:val="single" w:color="auto"/>
          <w:color w:val="auto"/>
        </w:rPr>
        <w:t>Non-control/non-affiliate investments (continued)</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Senior Secured Term Loans (continued)</w:t>
      </w:r>
    </w:p>
    <w:p>
      <w:pPr>
        <w:spacing w:after="0" w:line="78" w:lineRule="exact"/>
        <w:rPr>
          <w:sz w:val="20"/>
          <w:szCs w:val="20"/>
          <w:color w:val="auto"/>
        </w:rPr>
      </w:pPr>
    </w:p>
    <w:tbl>
      <w:tblPr>
        <w:tblLayout w:type="fixed"/>
        <w:tblInd w:w="500" w:type="dxa"/>
        <w:tblCellMar>
          <w:top w:w="0" w:type="dxa"/>
          <w:left w:w="0" w:type="dxa"/>
          <w:bottom w:w="0" w:type="dxa"/>
          <w:right w:w="0" w:type="dxa"/>
        </w:tblCellMar>
      </w:tblPr>
      <w:tr>
        <w:trPr>
          <w:trHeight w:val="170"/>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RealWear, Inc.</w:t>
            </w:r>
          </w:p>
        </w:tc>
        <w:tc>
          <w:tcPr>
            <w:tcW w:w="14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9"/>
              </w:rPr>
              <w:t>Technology Hardware,</w:t>
            </w:r>
          </w:p>
        </w:tc>
        <w:tc>
          <w:tcPr>
            <w:tcW w:w="2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Tranche I: LIBOR+9.5%, 10.85%</w:t>
            </w:r>
          </w:p>
        </w:tc>
        <w:tc>
          <w:tcPr>
            <w:tcW w:w="106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1"/>
              </w:rPr>
              <w:t>10/05/2018</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$ 5,000,000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4,854,551</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4,832,563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40" w:type="dxa"/>
            <w:vAlign w:val="bottom"/>
          </w:tcPr>
          <w:p>
            <w:pPr>
              <w:spacing w:after="0"/>
              <w:rPr>
                <w:sz w:val="14"/>
                <w:szCs w:val="14"/>
                <w:color w:val="auto"/>
              </w:rPr>
            </w:pP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Storage &amp; Peripherals</w:t>
            </w:r>
          </w:p>
        </w:tc>
        <w:tc>
          <w:tcPr>
            <w:tcW w:w="2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floor, 5% ETP, due 10/5/2021</w:t>
            </w:r>
          </w:p>
        </w:tc>
        <w:tc>
          <w:tcPr>
            <w:tcW w:w="10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70"/>
        </w:trPr>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Arial" w:cs="Arial" w:eastAsia="Arial" w:hAnsi="Arial"/>
                <w:sz w:val="14"/>
                <w:szCs w:val="14"/>
                <w:color w:val="auto"/>
              </w:rPr>
              <w:t>Tranche II: LIBOR+9.5%,</w:t>
            </w:r>
          </w:p>
        </w:tc>
        <w:tc>
          <w:tcPr>
            <w:tcW w:w="1060" w:type="dxa"/>
            <w:vAlign w:val="bottom"/>
          </w:tcPr>
          <w:p>
            <w:pPr>
              <w:jc w:val="center"/>
              <w:ind w:left="68"/>
              <w:spacing w:after="0"/>
              <w:rPr>
                <w:sz w:val="20"/>
                <w:szCs w:val="20"/>
                <w:color w:val="auto"/>
              </w:rPr>
            </w:pPr>
            <w:r>
              <w:rPr>
                <w:rFonts w:ascii="Arial" w:cs="Arial" w:eastAsia="Arial" w:hAnsi="Arial"/>
                <w:sz w:val="14"/>
                <w:szCs w:val="14"/>
                <w:color w:val="auto"/>
                <w:w w:val="91"/>
              </w:rPr>
              <w:t>12/28/2018</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965,139</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966,513</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0.58</w:t>
            </w:r>
          </w:p>
        </w:tc>
        <w:tc>
          <w:tcPr>
            <w:tcW w:w="40" w:type="dxa"/>
            <w:vAlign w:val="bottom"/>
          </w:tcPr>
          <w:p>
            <w:pPr>
              <w:spacing w:after="0"/>
              <w:rPr>
                <w:sz w:val="14"/>
                <w:szCs w:val="14"/>
                <w:color w:val="auto"/>
              </w:rPr>
            </w:pPr>
          </w:p>
        </w:tc>
      </w:tr>
      <w:tr>
        <w:trPr>
          <w:trHeight w:val="148"/>
        </w:trPr>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ind w:left="100"/>
              <w:spacing w:after="0" w:line="149" w:lineRule="exact"/>
              <w:rPr>
                <w:sz w:val="20"/>
                <w:szCs w:val="20"/>
                <w:color w:val="auto"/>
              </w:rPr>
            </w:pPr>
            <w:r>
              <w:rPr>
                <w:rFonts w:ascii="Arial" w:cs="Arial" w:eastAsia="Arial" w:hAnsi="Arial"/>
                <w:sz w:val="14"/>
                <w:szCs w:val="14"/>
                <w:color w:val="auto"/>
              </w:rPr>
              <w:t>10.85% floor, 5% ETP, due</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2"/>
        </w:trPr>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Arial" w:cs="Arial" w:eastAsia="Arial" w:hAnsi="Arial"/>
                <w:sz w:val="14"/>
                <w:szCs w:val="14"/>
                <w:color w:val="auto"/>
              </w:rPr>
              <w:t>10/5/2021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3"/>
        </w:trPr>
        <w:tc>
          <w:tcPr>
            <w:tcW w:w="1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70"/>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RedSeal, Inc.</w:t>
            </w:r>
          </w:p>
        </w:tc>
        <w:tc>
          <w:tcPr>
            <w:tcW w:w="1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Application Software</w:t>
            </w:r>
          </w:p>
        </w:tc>
        <w:tc>
          <w:tcPr>
            <w:tcW w:w="2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LIBOR+9.5%, 11% floor,</w:t>
            </w:r>
          </w:p>
        </w:tc>
        <w:tc>
          <w:tcPr>
            <w:tcW w:w="106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1"/>
              </w:rPr>
              <w:t>12/15/2017</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15,000,000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15,123,353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15,123,353</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9.04</w:t>
            </w:r>
          </w:p>
        </w:tc>
        <w:tc>
          <w:tcPr>
            <w:tcW w:w="40" w:type="dxa"/>
            <w:vAlign w:val="bottom"/>
          </w:tcPr>
          <w:p>
            <w:pPr>
              <w:spacing w:after="0"/>
              <w:rPr>
                <w:sz w:val="14"/>
                <w:szCs w:val="14"/>
                <w:color w:val="auto"/>
              </w:rPr>
            </w:pP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5.25% ETP, due 12/15/2020</w:t>
            </w:r>
          </w:p>
        </w:tc>
        <w:tc>
          <w:tcPr>
            <w:tcW w:w="10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70"/>
        </w:trPr>
        <w:tc>
          <w:tcPr>
            <w:tcW w:w="1260" w:type="dxa"/>
            <w:vAlign w:val="bottom"/>
          </w:tcPr>
          <w:p>
            <w:pPr>
              <w:ind w:left="140"/>
              <w:spacing w:after="0"/>
              <w:rPr>
                <w:sz w:val="20"/>
                <w:szCs w:val="20"/>
                <w:color w:val="auto"/>
              </w:rPr>
            </w:pPr>
            <w:r>
              <w:rPr>
                <w:rFonts w:ascii="Arial" w:cs="Arial" w:eastAsia="Arial" w:hAnsi="Arial"/>
                <w:sz w:val="14"/>
                <w:szCs w:val="14"/>
                <w:color w:val="auto"/>
              </w:rPr>
              <w:t>ShareThis, Inc.</w:t>
            </w:r>
          </w:p>
        </w:tc>
        <w:tc>
          <w:tcPr>
            <w:tcW w:w="1480" w:type="dxa"/>
            <w:vAlign w:val="bottom"/>
          </w:tcPr>
          <w:p>
            <w:pPr>
              <w:ind w:left="60"/>
              <w:spacing w:after="0"/>
              <w:rPr>
                <w:sz w:val="20"/>
                <w:szCs w:val="20"/>
                <w:color w:val="auto"/>
              </w:rPr>
            </w:pPr>
            <w:r>
              <w:rPr>
                <w:rFonts w:ascii="Arial" w:cs="Arial" w:eastAsia="Arial" w:hAnsi="Arial"/>
                <w:sz w:val="14"/>
                <w:szCs w:val="14"/>
                <w:color w:val="auto"/>
              </w:rPr>
              <w:t>Data Processing &amp;</w:t>
            </w:r>
          </w:p>
        </w:tc>
        <w:tc>
          <w:tcPr>
            <w:tcW w:w="2300" w:type="dxa"/>
            <w:vAlign w:val="bottom"/>
          </w:tcPr>
          <w:p>
            <w:pPr>
              <w:ind w:left="100"/>
              <w:spacing w:after="0"/>
              <w:rPr>
                <w:sz w:val="20"/>
                <w:szCs w:val="20"/>
                <w:color w:val="auto"/>
              </w:rPr>
            </w:pPr>
            <w:r>
              <w:rPr>
                <w:rFonts w:ascii="Arial" w:cs="Arial" w:eastAsia="Arial" w:hAnsi="Arial"/>
                <w:sz w:val="14"/>
                <w:szCs w:val="14"/>
                <w:color w:val="auto"/>
              </w:rPr>
              <w:t>LIBOR+9.25%, 11.65% floor,</w:t>
            </w:r>
          </w:p>
        </w:tc>
        <w:tc>
          <w:tcPr>
            <w:tcW w:w="1060" w:type="dxa"/>
            <w:vAlign w:val="bottom"/>
          </w:tcPr>
          <w:p>
            <w:pPr>
              <w:jc w:val="center"/>
              <w:ind w:left="68"/>
              <w:spacing w:after="0"/>
              <w:rPr>
                <w:sz w:val="20"/>
                <w:szCs w:val="20"/>
                <w:color w:val="auto"/>
              </w:rPr>
            </w:pPr>
            <w:r>
              <w:rPr>
                <w:rFonts w:ascii="Arial" w:cs="Arial" w:eastAsia="Arial" w:hAnsi="Arial"/>
                <w:sz w:val="14"/>
                <w:szCs w:val="14"/>
                <w:color w:val="auto"/>
                <w:w w:val="96"/>
              </w:rPr>
              <w:t>12/3/2018</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19,250,000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17,568,105</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17,567,923</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10.50</w:t>
            </w:r>
          </w:p>
        </w:tc>
        <w:tc>
          <w:tcPr>
            <w:tcW w:w="40" w:type="dxa"/>
            <w:vAlign w:val="bottom"/>
          </w:tcPr>
          <w:p>
            <w:pPr>
              <w:spacing w:after="0"/>
              <w:rPr>
                <w:sz w:val="14"/>
                <w:szCs w:val="14"/>
                <w:color w:val="auto"/>
              </w:rPr>
            </w:pPr>
          </w:p>
        </w:tc>
      </w:tr>
      <w:tr>
        <w:trPr>
          <w:trHeight w:val="182"/>
        </w:trPr>
        <w:tc>
          <w:tcPr>
            <w:tcW w:w="126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4"/>
                <w:szCs w:val="14"/>
                <w:color w:val="auto"/>
              </w:rPr>
              <w:t>Outsourced Services</w:t>
            </w:r>
          </w:p>
        </w:tc>
        <w:tc>
          <w:tcPr>
            <w:tcW w:w="2300" w:type="dxa"/>
            <w:vAlign w:val="bottom"/>
          </w:tcPr>
          <w:p>
            <w:pPr>
              <w:ind w:left="100"/>
              <w:spacing w:after="0"/>
              <w:rPr>
                <w:sz w:val="20"/>
                <w:szCs w:val="20"/>
                <w:color w:val="auto"/>
              </w:rPr>
            </w:pPr>
            <w:r>
              <w:rPr>
                <w:rFonts w:ascii="Arial" w:cs="Arial" w:eastAsia="Arial" w:hAnsi="Arial"/>
                <w:sz w:val="14"/>
                <w:szCs w:val="14"/>
                <w:color w:val="auto"/>
              </w:rPr>
              <w:t>4% ETP due 5/15/2022</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3"/>
        </w:trPr>
        <w:tc>
          <w:tcPr>
            <w:tcW w:w="1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70"/>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zSpace, Inc.</w:t>
            </w:r>
          </w:p>
        </w:tc>
        <w:tc>
          <w:tcPr>
            <w:tcW w:w="14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9"/>
              </w:rPr>
              <w:t>Technology Hardware,</w:t>
            </w:r>
          </w:p>
        </w:tc>
        <w:tc>
          <w:tcPr>
            <w:tcW w:w="2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LIBOR+10.5%, 12% floor,</w:t>
            </w:r>
          </w:p>
        </w:tc>
        <w:tc>
          <w:tcPr>
            <w:tcW w:w="106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1"/>
              </w:rPr>
              <w:t>12/29/2017</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10,000,000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9,682,603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9,593,890</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5.73</w:t>
            </w:r>
          </w:p>
        </w:tc>
        <w:tc>
          <w:tcPr>
            <w:tcW w:w="40" w:type="dxa"/>
            <w:vAlign w:val="bottom"/>
          </w:tcPr>
          <w:p>
            <w:pPr>
              <w:spacing w:after="0"/>
              <w:rPr>
                <w:sz w:val="14"/>
                <w:szCs w:val="14"/>
                <w:color w:val="auto"/>
              </w:rPr>
            </w:pP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Storage &amp; Peripherals</w:t>
            </w:r>
          </w:p>
        </w:tc>
        <w:tc>
          <w:tcPr>
            <w:tcW w:w="2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5% ETP, due 12/29/2020</w:t>
            </w:r>
          </w:p>
        </w:tc>
        <w:tc>
          <w:tcPr>
            <w:tcW w:w="10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26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Total Senior Secured Term Loans</w:t>
            </w:r>
          </w:p>
        </w:tc>
        <w:tc>
          <w:tcPr>
            <w:tcW w:w="2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208,588,381</w:t>
            </w:r>
          </w:p>
        </w:tc>
        <w:tc>
          <w:tcPr>
            <w:tcW w:w="2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208,539,353</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w w:val="88"/>
              </w:rPr>
              <w:t>124.61</w:t>
            </w:r>
          </w:p>
        </w:tc>
        <w:tc>
          <w:tcPr>
            <w:tcW w:w="40" w:type="dxa"/>
            <w:vAlign w:val="bottom"/>
          </w:tcPr>
          <w:p>
            <w:pPr>
              <w:spacing w:after="0"/>
              <w:rPr>
                <w:sz w:val="17"/>
                <w:szCs w:val="17"/>
                <w:color w:val="auto"/>
              </w:rPr>
            </w:pPr>
          </w:p>
        </w:tc>
      </w:tr>
      <w:tr>
        <w:trPr>
          <w:trHeight w:val="66"/>
        </w:trPr>
        <w:tc>
          <w:tcPr>
            <w:tcW w:w="126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230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Pr>
          <w:p>
            <w:pPr>
              <w:spacing w:after="0"/>
              <w:rPr>
                <w:sz w:val="5"/>
                <w:szCs w:val="5"/>
                <w:color w:val="auto"/>
              </w:rPr>
            </w:pPr>
          </w:p>
        </w:tc>
      </w:tr>
      <w:tr>
        <w:trPr>
          <w:trHeight w:val="230"/>
        </w:trPr>
        <w:tc>
          <w:tcPr>
            <w:tcW w:w="1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Preferred Stock</w:t>
            </w:r>
          </w:p>
        </w:tc>
        <w:tc>
          <w:tcPr>
            <w:tcW w:w="148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4"/>
        </w:trPr>
        <w:tc>
          <w:tcPr>
            <w:tcW w:w="1260" w:type="dxa"/>
            <w:vAlign w:val="bottom"/>
          </w:tcPr>
          <w:p>
            <w:pPr>
              <w:ind w:left="140"/>
              <w:spacing w:after="0"/>
              <w:rPr>
                <w:sz w:val="20"/>
                <w:szCs w:val="20"/>
                <w:color w:val="auto"/>
              </w:rPr>
            </w:pPr>
            <w:r>
              <w:rPr>
                <w:rFonts w:ascii="Arial" w:cs="Arial" w:eastAsia="Arial" w:hAnsi="Arial"/>
                <w:sz w:val="14"/>
                <w:szCs w:val="14"/>
                <w:color w:val="auto"/>
                <w:w w:val="97"/>
              </w:rPr>
              <w:t>Aria Systems, Inc.</w:t>
            </w:r>
          </w:p>
        </w:tc>
        <w:tc>
          <w:tcPr>
            <w:tcW w:w="1480" w:type="dxa"/>
            <w:vAlign w:val="bottom"/>
          </w:tcPr>
          <w:p>
            <w:pPr>
              <w:ind w:left="60"/>
              <w:spacing w:after="0"/>
              <w:rPr>
                <w:sz w:val="20"/>
                <w:szCs w:val="20"/>
                <w:color w:val="auto"/>
              </w:rPr>
            </w:pPr>
            <w:r>
              <w:rPr>
                <w:rFonts w:ascii="Arial" w:cs="Arial" w:eastAsia="Arial" w:hAnsi="Arial"/>
                <w:sz w:val="14"/>
                <w:szCs w:val="14"/>
                <w:color w:val="auto"/>
              </w:rPr>
              <w:t>Application Software</w:t>
            </w:r>
          </w:p>
        </w:tc>
        <w:tc>
          <w:tcPr>
            <w:tcW w:w="2300" w:type="dxa"/>
            <w:vAlign w:val="bottom"/>
          </w:tcPr>
          <w:p>
            <w:pPr>
              <w:ind w:left="100"/>
              <w:spacing w:after="0"/>
              <w:rPr>
                <w:sz w:val="20"/>
                <w:szCs w:val="20"/>
                <w:color w:val="auto"/>
              </w:rPr>
            </w:pPr>
            <w:r>
              <w:rPr>
                <w:rFonts w:ascii="Arial" w:cs="Arial" w:eastAsia="Arial" w:hAnsi="Arial"/>
                <w:sz w:val="14"/>
                <w:szCs w:val="14"/>
                <w:color w:val="auto"/>
              </w:rPr>
              <w:t>Series G Preferred Stock</w:t>
            </w:r>
          </w:p>
        </w:tc>
        <w:tc>
          <w:tcPr>
            <w:tcW w:w="1060" w:type="dxa"/>
            <w:vAlign w:val="bottom"/>
          </w:tcPr>
          <w:p>
            <w:pPr>
              <w:jc w:val="center"/>
              <w:ind w:left="68"/>
              <w:spacing w:after="0"/>
              <w:rPr>
                <w:sz w:val="20"/>
                <w:szCs w:val="20"/>
                <w:color w:val="auto"/>
              </w:rPr>
            </w:pPr>
            <w:r>
              <w:rPr>
                <w:rFonts w:ascii="Arial" w:cs="Arial" w:eastAsia="Arial" w:hAnsi="Arial"/>
                <w:sz w:val="14"/>
                <w:szCs w:val="14"/>
                <w:color w:val="auto"/>
                <w:w w:val="96"/>
              </w:rPr>
              <w:t>7/10/2018</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289,419</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250,000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461,826</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0.28</w:t>
            </w:r>
          </w:p>
        </w:tc>
        <w:tc>
          <w:tcPr>
            <w:tcW w:w="40" w:type="dxa"/>
            <w:vAlign w:val="bottom"/>
          </w:tcPr>
          <w:p>
            <w:pPr>
              <w:spacing w:after="0"/>
              <w:rPr>
                <w:sz w:val="17"/>
                <w:szCs w:val="17"/>
                <w:color w:val="auto"/>
              </w:rPr>
            </w:pPr>
          </w:p>
        </w:tc>
      </w:tr>
      <w:tr>
        <w:trPr>
          <w:trHeight w:val="53"/>
        </w:trPr>
        <w:tc>
          <w:tcPr>
            <w:tcW w:w="1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70"/>
        </w:trPr>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Warrants</w:t>
            </w:r>
            <w:r>
              <w:rPr>
                <w:rFonts w:ascii="Arial" w:cs="Arial" w:eastAsia="Arial" w:hAnsi="Arial"/>
                <w:sz w:val="21"/>
                <w:szCs w:val="21"/>
                <w:b w:val="1"/>
                <w:bCs w:val="1"/>
                <w:color w:val="auto"/>
                <w:vertAlign w:val="superscript"/>
              </w:rPr>
              <w:t>(8)</w:t>
            </w:r>
          </w:p>
        </w:tc>
        <w:tc>
          <w:tcPr>
            <w:tcW w:w="148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170"/>
        </w:trPr>
        <w:tc>
          <w:tcPr>
            <w:tcW w:w="1260" w:type="dxa"/>
            <w:vAlign w:val="bottom"/>
          </w:tcPr>
          <w:p>
            <w:pPr>
              <w:ind w:left="140"/>
              <w:spacing w:after="0"/>
              <w:rPr>
                <w:sz w:val="20"/>
                <w:szCs w:val="20"/>
                <w:color w:val="auto"/>
              </w:rPr>
            </w:pPr>
            <w:r>
              <w:rPr>
                <w:rFonts w:ascii="Arial" w:cs="Arial" w:eastAsia="Arial" w:hAnsi="Arial"/>
                <w:sz w:val="14"/>
                <w:szCs w:val="14"/>
                <w:color w:val="auto"/>
              </w:rPr>
              <w:t>Aginity, Inc.</w:t>
            </w:r>
          </w:p>
        </w:tc>
        <w:tc>
          <w:tcPr>
            <w:tcW w:w="1480" w:type="dxa"/>
            <w:vAlign w:val="bottom"/>
          </w:tcPr>
          <w:p>
            <w:pPr>
              <w:ind w:left="60"/>
              <w:spacing w:after="0"/>
              <w:rPr>
                <w:sz w:val="20"/>
                <w:szCs w:val="20"/>
                <w:color w:val="auto"/>
              </w:rPr>
            </w:pPr>
            <w:r>
              <w:rPr>
                <w:rFonts w:ascii="Arial" w:cs="Arial" w:eastAsia="Arial" w:hAnsi="Arial"/>
                <w:sz w:val="14"/>
                <w:szCs w:val="14"/>
                <w:color w:val="auto"/>
              </w:rPr>
              <w:t>Application Software</w:t>
            </w:r>
          </w:p>
        </w:tc>
        <w:tc>
          <w:tcPr>
            <w:tcW w:w="2300" w:type="dxa"/>
            <w:vAlign w:val="bottom"/>
          </w:tcPr>
          <w:p>
            <w:pPr>
              <w:ind w:left="100"/>
              <w:spacing w:after="0"/>
              <w:rPr>
                <w:sz w:val="20"/>
                <w:szCs w:val="20"/>
                <w:color w:val="auto"/>
              </w:rPr>
            </w:pPr>
            <w:r>
              <w:rPr>
                <w:rFonts w:ascii="Arial" w:cs="Arial" w:eastAsia="Arial" w:hAnsi="Arial"/>
                <w:sz w:val="14"/>
                <w:szCs w:val="14"/>
                <w:color w:val="auto"/>
              </w:rPr>
              <w:t>Warrant for Series C-Prime</w:t>
            </w:r>
          </w:p>
        </w:tc>
        <w:tc>
          <w:tcPr>
            <w:tcW w:w="1060" w:type="dxa"/>
            <w:vAlign w:val="bottom"/>
          </w:tcPr>
          <w:p>
            <w:pPr>
              <w:jc w:val="center"/>
              <w:ind w:left="68"/>
              <w:spacing w:after="0"/>
              <w:rPr>
                <w:sz w:val="20"/>
                <w:szCs w:val="20"/>
                <w:color w:val="auto"/>
              </w:rPr>
            </w:pPr>
            <w:r>
              <w:rPr>
                <w:rFonts w:ascii="Arial" w:cs="Arial" w:eastAsia="Arial" w:hAnsi="Arial"/>
                <w:sz w:val="14"/>
                <w:szCs w:val="14"/>
                <w:color w:val="auto"/>
                <w:w w:val="96"/>
              </w:rPr>
              <w:t>5/25/2018</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359,158</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167,727</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154,346</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0.09</w:t>
            </w:r>
          </w:p>
        </w:tc>
        <w:tc>
          <w:tcPr>
            <w:tcW w:w="40" w:type="dxa"/>
            <w:vAlign w:val="bottom"/>
          </w:tcPr>
          <w:p>
            <w:pPr>
              <w:spacing w:after="0"/>
              <w:rPr>
                <w:sz w:val="14"/>
                <w:szCs w:val="14"/>
                <w:color w:val="auto"/>
              </w:rPr>
            </w:pPr>
          </w:p>
        </w:tc>
      </w:tr>
      <w:tr>
        <w:trPr>
          <w:trHeight w:val="148"/>
        </w:trPr>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2"/>
        </w:trPr>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Arial" w:cs="Arial" w:eastAsia="Arial" w:hAnsi="Arial"/>
                <w:sz w:val="14"/>
                <w:szCs w:val="14"/>
                <w:color w:val="auto"/>
              </w:rPr>
              <w:t>$1.949/share, expires 5/25/2028</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3"/>
        </w:trPr>
        <w:tc>
          <w:tcPr>
            <w:tcW w:w="1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70"/>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AllClear ID, Inc.</w:t>
            </w:r>
          </w:p>
        </w:tc>
        <w:tc>
          <w:tcPr>
            <w:tcW w:w="14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9"/>
              </w:rPr>
              <w:t>Specialized Consumer</w:t>
            </w:r>
          </w:p>
        </w:tc>
        <w:tc>
          <w:tcPr>
            <w:tcW w:w="2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Warrant for Common Stock,</w:t>
            </w:r>
          </w:p>
        </w:tc>
        <w:tc>
          <w:tcPr>
            <w:tcW w:w="106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5"/>
              </w:rPr>
              <w:t>9/1/2017</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870,514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1,749,733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1,176,700</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0.70</w:t>
            </w:r>
          </w:p>
        </w:tc>
        <w:tc>
          <w:tcPr>
            <w:tcW w:w="40" w:type="dxa"/>
            <w:vAlign w:val="bottom"/>
          </w:tcPr>
          <w:p>
            <w:pPr>
              <w:spacing w:after="0"/>
              <w:rPr>
                <w:sz w:val="14"/>
                <w:szCs w:val="14"/>
                <w:color w:val="auto"/>
              </w:rPr>
            </w:pPr>
          </w:p>
        </w:tc>
      </w:tr>
      <w:tr>
        <w:trPr>
          <w:trHeight w:val="149"/>
        </w:trPr>
        <w:tc>
          <w:tcPr>
            <w:tcW w:w="1260" w:type="dxa"/>
            <w:vAlign w:val="bottom"/>
            <w:shd w:val="clear" w:color="auto" w:fill="CCEEFF"/>
          </w:tcPr>
          <w:p>
            <w:pPr>
              <w:spacing w:after="0"/>
              <w:rPr>
                <w:sz w:val="12"/>
                <w:szCs w:val="12"/>
                <w:color w:val="auto"/>
              </w:rPr>
            </w:pPr>
          </w:p>
        </w:tc>
        <w:tc>
          <w:tcPr>
            <w:tcW w:w="14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w:t>
            </w:r>
          </w:p>
        </w:tc>
        <w:tc>
          <w:tcPr>
            <w:tcW w:w="2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$0.01/share,</w:t>
            </w:r>
          </w:p>
        </w:tc>
        <w:tc>
          <w:tcPr>
            <w:tcW w:w="10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expires 9/1/2027</w:t>
            </w:r>
          </w:p>
        </w:tc>
        <w:tc>
          <w:tcPr>
            <w:tcW w:w="10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70"/>
        </w:trPr>
        <w:tc>
          <w:tcPr>
            <w:tcW w:w="1260" w:type="dxa"/>
            <w:vAlign w:val="bottom"/>
          </w:tcPr>
          <w:p>
            <w:pPr>
              <w:ind w:left="140"/>
              <w:spacing w:after="0"/>
              <w:rPr>
                <w:sz w:val="20"/>
                <w:szCs w:val="20"/>
                <w:color w:val="auto"/>
              </w:rPr>
            </w:pPr>
            <w:r>
              <w:rPr>
                <w:rFonts w:ascii="Arial" w:cs="Arial" w:eastAsia="Arial" w:hAnsi="Arial"/>
                <w:sz w:val="14"/>
                <w:szCs w:val="14"/>
                <w:color w:val="auto"/>
                <w:w w:val="97"/>
              </w:rPr>
              <w:t>Aria Systems, Inc.</w:t>
            </w:r>
          </w:p>
        </w:tc>
        <w:tc>
          <w:tcPr>
            <w:tcW w:w="1480" w:type="dxa"/>
            <w:vAlign w:val="bottom"/>
          </w:tcPr>
          <w:p>
            <w:pPr>
              <w:ind w:left="60"/>
              <w:spacing w:after="0"/>
              <w:rPr>
                <w:sz w:val="20"/>
                <w:szCs w:val="20"/>
                <w:color w:val="auto"/>
              </w:rPr>
            </w:pPr>
            <w:r>
              <w:rPr>
                <w:rFonts w:ascii="Arial" w:cs="Arial" w:eastAsia="Arial" w:hAnsi="Arial"/>
                <w:sz w:val="14"/>
                <w:szCs w:val="14"/>
                <w:color w:val="auto"/>
              </w:rPr>
              <w:t>Application Software</w:t>
            </w:r>
          </w:p>
        </w:tc>
        <w:tc>
          <w:tcPr>
            <w:tcW w:w="2300" w:type="dxa"/>
            <w:vAlign w:val="bottom"/>
          </w:tcPr>
          <w:p>
            <w:pPr>
              <w:ind w:left="100"/>
              <w:spacing w:after="0"/>
              <w:rPr>
                <w:sz w:val="20"/>
                <w:szCs w:val="20"/>
                <w:color w:val="auto"/>
              </w:rPr>
            </w:pPr>
            <w:r>
              <w:rPr>
                <w:rFonts w:ascii="Arial" w:cs="Arial" w:eastAsia="Arial" w:hAnsi="Arial"/>
                <w:sz w:val="14"/>
                <w:szCs w:val="14"/>
                <w:color w:val="auto"/>
              </w:rPr>
              <w:t>Warrant for Series G Preferred</w:t>
            </w:r>
          </w:p>
        </w:tc>
        <w:tc>
          <w:tcPr>
            <w:tcW w:w="1060" w:type="dxa"/>
            <w:vAlign w:val="bottom"/>
          </w:tcPr>
          <w:p>
            <w:pPr>
              <w:jc w:val="center"/>
              <w:ind w:left="68"/>
              <w:spacing w:after="0"/>
              <w:rPr>
                <w:sz w:val="20"/>
                <w:szCs w:val="20"/>
                <w:color w:val="auto"/>
              </w:rPr>
            </w:pPr>
            <w:r>
              <w:rPr>
                <w:rFonts w:ascii="Arial" w:cs="Arial" w:eastAsia="Arial" w:hAnsi="Arial"/>
                <w:sz w:val="14"/>
                <w:szCs w:val="14"/>
                <w:color w:val="auto"/>
                <w:w w:val="96"/>
              </w:rPr>
              <w:t>6/29/2018</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2,170,641</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770,578</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1,827,680</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1.09</w:t>
            </w:r>
          </w:p>
        </w:tc>
        <w:tc>
          <w:tcPr>
            <w:tcW w:w="40" w:type="dxa"/>
            <w:vAlign w:val="bottom"/>
          </w:tcPr>
          <w:p>
            <w:pPr>
              <w:spacing w:after="0"/>
              <w:rPr>
                <w:sz w:val="14"/>
                <w:szCs w:val="14"/>
                <w:color w:val="auto"/>
              </w:rPr>
            </w:pPr>
          </w:p>
        </w:tc>
      </w:tr>
      <w:tr>
        <w:trPr>
          <w:trHeight w:val="149"/>
        </w:trPr>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ind w:left="100"/>
              <w:spacing w:after="0" w:line="149" w:lineRule="exact"/>
              <w:rPr>
                <w:sz w:val="20"/>
                <w:szCs w:val="20"/>
                <w:color w:val="auto"/>
              </w:rPr>
            </w:pPr>
            <w:r>
              <w:rPr>
                <w:rFonts w:ascii="Arial" w:cs="Arial" w:eastAsia="Arial" w:hAnsi="Arial"/>
                <w:sz w:val="14"/>
                <w:szCs w:val="14"/>
                <w:color w:val="auto"/>
              </w:rPr>
              <w:t>Stock, exercise price $0.8638/</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2"/>
        </w:trPr>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Arial" w:cs="Arial" w:eastAsia="Arial" w:hAnsi="Arial"/>
                <w:sz w:val="14"/>
                <w:szCs w:val="14"/>
                <w:color w:val="auto"/>
              </w:rPr>
              <w:t>share, expires 6/29/2028</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2"/>
        </w:trPr>
        <w:tc>
          <w:tcPr>
            <w:tcW w:w="1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70"/>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Aspen Group Inc.</w:t>
            </w:r>
          </w:p>
        </w:tc>
        <w:tc>
          <w:tcPr>
            <w:tcW w:w="1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Education Services</w:t>
            </w:r>
          </w:p>
        </w:tc>
        <w:tc>
          <w:tcPr>
            <w:tcW w:w="2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Warrant for Common Stock,</w:t>
            </w:r>
          </w:p>
        </w:tc>
        <w:tc>
          <w:tcPr>
            <w:tcW w:w="106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6"/>
              </w:rPr>
              <w:t>7/25/2017</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224,174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583,301</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593,000</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0.35</w:t>
            </w:r>
          </w:p>
        </w:tc>
        <w:tc>
          <w:tcPr>
            <w:tcW w:w="40" w:type="dxa"/>
            <w:vAlign w:val="bottom"/>
          </w:tcPr>
          <w:p>
            <w:pPr>
              <w:spacing w:after="0"/>
              <w:rPr>
                <w:sz w:val="14"/>
                <w:szCs w:val="14"/>
                <w:color w:val="auto"/>
              </w:rPr>
            </w:pPr>
          </w:p>
        </w:tc>
      </w:tr>
      <w:tr>
        <w:trPr>
          <w:trHeight w:val="148"/>
        </w:trPr>
        <w:tc>
          <w:tcPr>
            <w:tcW w:w="12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$6.87/share,</w:t>
            </w:r>
          </w:p>
        </w:tc>
        <w:tc>
          <w:tcPr>
            <w:tcW w:w="10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expires 7/25/2022</w:t>
            </w:r>
          </w:p>
        </w:tc>
        <w:tc>
          <w:tcPr>
            <w:tcW w:w="10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70"/>
        </w:trPr>
        <w:tc>
          <w:tcPr>
            <w:tcW w:w="1260" w:type="dxa"/>
            <w:vAlign w:val="bottom"/>
          </w:tcPr>
          <w:p>
            <w:pPr>
              <w:ind w:left="140"/>
              <w:spacing w:after="0"/>
              <w:rPr>
                <w:sz w:val="20"/>
                <w:szCs w:val="20"/>
                <w:color w:val="auto"/>
              </w:rPr>
            </w:pPr>
            <w:r>
              <w:rPr>
                <w:rFonts w:ascii="Arial" w:cs="Arial" w:eastAsia="Arial" w:hAnsi="Arial"/>
                <w:sz w:val="14"/>
                <w:szCs w:val="14"/>
                <w:color w:val="auto"/>
              </w:rPr>
              <w:t>CareCloud</w:t>
            </w:r>
          </w:p>
        </w:tc>
        <w:tc>
          <w:tcPr>
            <w:tcW w:w="1480" w:type="dxa"/>
            <w:vAlign w:val="bottom"/>
          </w:tcPr>
          <w:p>
            <w:pPr>
              <w:ind w:left="60"/>
              <w:spacing w:after="0"/>
              <w:rPr>
                <w:sz w:val="20"/>
                <w:szCs w:val="20"/>
                <w:color w:val="auto"/>
              </w:rPr>
            </w:pPr>
            <w:r>
              <w:rPr>
                <w:rFonts w:ascii="Arial" w:cs="Arial" w:eastAsia="Arial" w:hAnsi="Arial"/>
                <w:sz w:val="14"/>
                <w:szCs w:val="14"/>
                <w:color w:val="auto"/>
                <w:w w:val="97"/>
              </w:rPr>
              <w:t>Healthcare Technology</w:t>
            </w:r>
          </w:p>
        </w:tc>
        <w:tc>
          <w:tcPr>
            <w:tcW w:w="2300" w:type="dxa"/>
            <w:vAlign w:val="bottom"/>
          </w:tcPr>
          <w:p>
            <w:pPr>
              <w:ind w:left="100"/>
              <w:spacing w:after="0"/>
              <w:rPr>
                <w:sz w:val="20"/>
                <w:szCs w:val="20"/>
                <w:color w:val="auto"/>
              </w:rPr>
            </w:pPr>
            <w:r>
              <w:rPr>
                <w:rFonts w:ascii="Arial" w:cs="Arial" w:eastAsia="Arial" w:hAnsi="Arial"/>
                <w:sz w:val="14"/>
                <w:szCs w:val="14"/>
                <w:color w:val="auto"/>
              </w:rPr>
              <w:t>Warrant for Series C Preferred</w:t>
            </w:r>
          </w:p>
        </w:tc>
        <w:tc>
          <w:tcPr>
            <w:tcW w:w="1060" w:type="dxa"/>
            <w:vAlign w:val="bottom"/>
          </w:tcPr>
          <w:p>
            <w:pPr>
              <w:jc w:val="center"/>
              <w:ind w:left="68"/>
              <w:spacing w:after="0"/>
              <w:rPr>
                <w:sz w:val="20"/>
                <w:szCs w:val="20"/>
                <w:color w:val="auto"/>
              </w:rPr>
            </w:pPr>
            <w:r>
              <w:rPr>
                <w:rFonts w:ascii="Arial" w:cs="Arial" w:eastAsia="Arial" w:hAnsi="Arial"/>
                <w:sz w:val="14"/>
                <w:szCs w:val="14"/>
                <w:color w:val="auto"/>
                <w:w w:val="96"/>
              </w:rPr>
              <w:t>6/19/2018</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1,557,956</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394,163</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364,562</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0.22</w:t>
            </w:r>
          </w:p>
        </w:tc>
        <w:tc>
          <w:tcPr>
            <w:tcW w:w="40" w:type="dxa"/>
            <w:vAlign w:val="bottom"/>
          </w:tcPr>
          <w:p>
            <w:pPr>
              <w:spacing w:after="0"/>
              <w:rPr>
                <w:sz w:val="14"/>
                <w:szCs w:val="14"/>
                <w:color w:val="auto"/>
              </w:rPr>
            </w:pPr>
          </w:p>
        </w:tc>
      </w:tr>
      <w:tr>
        <w:trPr>
          <w:trHeight w:val="148"/>
        </w:trPr>
        <w:tc>
          <w:tcPr>
            <w:tcW w:w="1260" w:type="dxa"/>
            <w:vAlign w:val="bottom"/>
          </w:tcPr>
          <w:p>
            <w:pPr>
              <w:ind w:left="280"/>
              <w:spacing w:after="0" w:line="149" w:lineRule="exact"/>
              <w:rPr>
                <w:sz w:val="20"/>
                <w:szCs w:val="20"/>
                <w:color w:val="auto"/>
              </w:rPr>
            </w:pPr>
            <w:r>
              <w:rPr>
                <w:rFonts w:ascii="Arial" w:cs="Arial" w:eastAsia="Arial" w:hAnsi="Arial"/>
                <w:sz w:val="14"/>
                <w:szCs w:val="14"/>
                <w:color w:val="auto"/>
              </w:rPr>
              <w:t>Corporation</w:t>
            </w:r>
          </w:p>
        </w:tc>
        <w:tc>
          <w:tcPr>
            <w:tcW w:w="1480" w:type="dxa"/>
            <w:vAlign w:val="bottom"/>
          </w:tcPr>
          <w:p>
            <w:pPr>
              <w:spacing w:after="0"/>
              <w:rPr>
                <w:sz w:val="12"/>
                <w:szCs w:val="12"/>
                <w:color w:val="auto"/>
              </w:rPr>
            </w:pPr>
          </w:p>
        </w:tc>
        <w:tc>
          <w:tcPr>
            <w:tcW w:w="2300" w:type="dxa"/>
            <w:vAlign w:val="bottom"/>
          </w:tcPr>
          <w:p>
            <w:pPr>
              <w:ind w:left="100"/>
              <w:spacing w:after="0" w:line="149" w:lineRule="exact"/>
              <w:rPr>
                <w:sz w:val="20"/>
                <w:szCs w:val="20"/>
                <w:color w:val="auto"/>
              </w:rPr>
            </w:pPr>
            <w:r>
              <w:rPr>
                <w:rFonts w:ascii="Arial" w:cs="Arial" w:eastAsia="Arial" w:hAnsi="Arial"/>
                <w:sz w:val="14"/>
                <w:szCs w:val="14"/>
                <w:color w:val="auto"/>
              </w:rPr>
              <w:t>Stock, exercise price $1.2035/</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2"/>
        </w:trPr>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Arial" w:cs="Arial" w:eastAsia="Arial" w:hAnsi="Arial"/>
                <w:sz w:val="14"/>
                <w:szCs w:val="14"/>
                <w:color w:val="auto"/>
              </w:rPr>
              <w:t>share, expires 6/19/2025</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3"/>
        </w:trPr>
        <w:tc>
          <w:tcPr>
            <w:tcW w:w="1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70"/>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Circadence Corp.</w:t>
            </w:r>
          </w:p>
        </w:tc>
        <w:tc>
          <w:tcPr>
            <w:tcW w:w="1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Application Software</w:t>
            </w:r>
          </w:p>
        </w:tc>
        <w:tc>
          <w:tcPr>
            <w:tcW w:w="2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Warrant for Series A-5 Preferred</w:t>
            </w:r>
          </w:p>
        </w:tc>
        <w:tc>
          <w:tcPr>
            <w:tcW w:w="106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1"/>
              </w:rPr>
              <w:t>12/20/2018</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1,666,667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3,630,000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3,630,000</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2.18</w:t>
            </w:r>
          </w:p>
        </w:tc>
        <w:tc>
          <w:tcPr>
            <w:tcW w:w="40" w:type="dxa"/>
            <w:vAlign w:val="bottom"/>
          </w:tcPr>
          <w:p>
            <w:pPr>
              <w:spacing w:after="0"/>
              <w:rPr>
                <w:sz w:val="14"/>
                <w:szCs w:val="14"/>
                <w:color w:val="auto"/>
              </w:rPr>
            </w:pPr>
          </w:p>
        </w:tc>
      </w:tr>
      <w:tr>
        <w:trPr>
          <w:trHeight w:val="149"/>
        </w:trPr>
        <w:tc>
          <w:tcPr>
            <w:tcW w:w="12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$1.08/share,</w:t>
            </w:r>
          </w:p>
        </w:tc>
        <w:tc>
          <w:tcPr>
            <w:tcW w:w="10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expires 12/20/2028</w:t>
            </w:r>
          </w:p>
        </w:tc>
        <w:tc>
          <w:tcPr>
            <w:tcW w:w="10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70"/>
        </w:trPr>
        <w:tc>
          <w:tcPr>
            <w:tcW w:w="1260" w:type="dxa"/>
            <w:vAlign w:val="bottom"/>
          </w:tcPr>
          <w:p>
            <w:pPr>
              <w:ind w:left="140"/>
              <w:spacing w:after="0"/>
              <w:rPr>
                <w:sz w:val="20"/>
                <w:szCs w:val="20"/>
                <w:color w:val="auto"/>
              </w:rPr>
            </w:pPr>
            <w:r>
              <w:rPr>
                <w:rFonts w:ascii="Arial" w:cs="Arial" w:eastAsia="Arial" w:hAnsi="Arial"/>
                <w:sz w:val="14"/>
                <w:szCs w:val="14"/>
                <w:color w:val="auto"/>
              </w:rPr>
              <w:t>Drawbridge, Inc.</w:t>
            </w:r>
          </w:p>
        </w:tc>
        <w:tc>
          <w:tcPr>
            <w:tcW w:w="1480" w:type="dxa"/>
            <w:vAlign w:val="bottom"/>
          </w:tcPr>
          <w:p>
            <w:pPr>
              <w:ind w:left="60"/>
              <w:spacing w:after="0"/>
              <w:rPr>
                <w:sz w:val="20"/>
                <w:szCs w:val="20"/>
                <w:color w:val="auto"/>
              </w:rPr>
            </w:pPr>
            <w:r>
              <w:rPr>
                <w:rFonts w:ascii="Arial" w:cs="Arial" w:eastAsia="Arial" w:hAnsi="Arial"/>
                <w:sz w:val="14"/>
                <w:szCs w:val="14"/>
                <w:color w:val="auto"/>
              </w:rPr>
              <w:t>Data Processing &amp;</w:t>
            </w:r>
          </w:p>
        </w:tc>
        <w:tc>
          <w:tcPr>
            <w:tcW w:w="2300" w:type="dxa"/>
            <w:vAlign w:val="bottom"/>
          </w:tcPr>
          <w:p>
            <w:pPr>
              <w:ind w:left="100"/>
              <w:spacing w:after="0"/>
              <w:rPr>
                <w:sz w:val="20"/>
                <w:szCs w:val="20"/>
                <w:color w:val="auto"/>
              </w:rPr>
            </w:pPr>
            <w:r>
              <w:rPr>
                <w:rFonts w:ascii="Arial" w:cs="Arial" w:eastAsia="Arial" w:hAnsi="Arial"/>
                <w:sz w:val="14"/>
                <w:szCs w:val="14"/>
                <w:color w:val="auto"/>
              </w:rPr>
              <w:t>Warrant for Series C Preferred</w:t>
            </w:r>
          </w:p>
        </w:tc>
        <w:tc>
          <w:tcPr>
            <w:tcW w:w="1060" w:type="dxa"/>
            <w:vAlign w:val="bottom"/>
          </w:tcPr>
          <w:p>
            <w:pPr>
              <w:jc w:val="center"/>
              <w:ind w:left="68"/>
              <w:spacing w:after="0"/>
              <w:rPr>
                <w:sz w:val="20"/>
                <w:szCs w:val="20"/>
                <w:color w:val="auto"/>
              </w:rPr>
            </w:pPr>
            <w:r>
              <w:rPr>
                <w:rFonts w:ascii="Arial" w:cs="Arial" w:eastAsia="Arial" w:hAnsi="Arial"/>
                <w:sz w:val="14"/>
                <w:szCs w:val="14"/>
                <w:color w:val="auto"/>
                <w:w w:val="91"/>
              </w:rPr>
              <w:t>10/22/2018</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663,864</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406,285</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429,520</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0.26</w:t>
            </w:r>
          </w:p>
        </w:tc>
        <w:tc>
          <w:tcPr>
            <w:tcW w:w="40" w:type="dxa"/>
            <w:vAlign w:val="bottom"/>
          </w:tcPr>
          <w:p>
            <w:pPr>
              <w:spacing w:after="0"/>
              <w:rPr>
                <w:sz w:val="14"/>
                <w:szCs w:val="14"/>
                <w:color w:val="auto"/>
              </w:rPr>
            </w:pPr>
          </w:p>
        </w:tc>
      </w:tr>
      <w:tr>
        <w:trPr>
          <w:trHeight w:val="148"/>
        </w:trPr>
        <w:tc>
          <w:tcPr>
            <w:tcW w:w="1260" w:type="dxa"/>
            <w:vAlign w:val="bottom"/>
          </w:tcPr>
          <w:p>
            <w:pPr>
              <w:spacing w:after="0"/>
              <w:rPr>
                <w:sz w:val="12"/>
                <w:szCs w:val="12"/>
                <w:color w:val="auto"/>
              </w:rPr>
            </w:pPr>
          </w:p>
        </w:tc>
        <w:tc>
          <w:tcPr>
            <w:tcW w:w="1480" w:type="dxa"/>
            <w:vAlign w:val="bottom"/>
          </w:tcPr>
          <w:p>
            <w:pPr>
              <w:ind w:left="60"/>
              <w:spacing w:after="0" w:line="149" w:lineRule="exact"/>
              <w:rPr>
                <w:sz w:val="20"/>
                <w:szCs w:val="20"/>
                <w:color w:val="auto"/>
              </w:rPr>
            </w:pPr>
            <w:r>
              <w:rPr>
                <w:rFonts w:ascii="Arial" w:cs="Arial" w:eastAsia="Arial" w:hAnsi="Arial"/>
                <w:sz w:val="14"/>
                <w:szCs w:val="14"/>
                <w:color w:val="auto"/>
              </w:rPr>
              <w:t>Outsourced Services</w:t>
            </w:r>
          </w:p>
        </w:tc>
        <w:tc>
          <w:tcPr>
            <w:tcW w:w="2300" w:type="dxa"/>
            <w:vAlign w:val="bottom"/>
          </w:tcPr>
          <w:p>
            <w:pPr>
              <w:ind w:left="100"/>
              <w:spacing w:after="0" w:line="149" w:lineRule="exact"/>
              <w:rPr>
                <w:sz w:val="20"/>
                <w:szCs w:val="20"/>
                <w:color w:val="auto"/>
              </w:rPr>
            </w:pPr>
            <w:r>
              <w:rPr>
                <w:rFonts w:ascii="Arial" w:cs="Arial" w:eastAsia="Arial" w:hAnsi="Arial"/>
                <w:sz w:val="14"/>
                <w:szCs w:val="14"/>
                <w:color w:val="auto"/>
              </w:rPr>
              <w:t>Stock, exercise price $2.2595/</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2"/>
        </w:trPr>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Arial" w:cs="Arial" w:eastAsia="Arial" w:hAnsi="Arial"/>
                <w:sz w:val="14"/>
                <w:szCs w:val="14"/>
                <w:color w:val="auto"/>
              </w:rPr>
              <w:t>share, expires 10/22/2028</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3"/>
        </w:trPr>
        <w:tc>
          <w:tcPr>
            <w:tcW w:w="2740" w:type="dxa"/>
            <w:vAlign w:val="bottom"/>
            <w:gridSpan w:val="2"/>
          </w:tcPr>
          <w:p>
            <w:pPr>
              <w:spacing w:after="0"/>
              <w:rPr>
                <w:sz w:val="4"/>
                <w:szCs w:val="4"/>
                <w:color w:val="auto"/>
              </w:rPr>
            </w:pPr>
          </w:p>
        </w:tc>
        <w:tc>
          <w:tcPr>
            <w:tcW w:w="2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70"/>
        </w:trPr>
        <w:tc>
          <w:tcPr>
            <w:tcW w:w="2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Dtex Systems, Inc. Application Software</w:t>
            </w:r>
          </w:p>
        </w:tc>
        <w:tc>
          <w:tcPr>
            <w:tcW w:w="2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Warrant for Series C Preferred</w:t>
            </w:r>
          </w:p>
        </w:tc>
        <w:tc>
          <w:tcPr>
            <w:tcW w:w="106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5"/>
              </w:rPr>
              <w:t>6/1/2018</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500,000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56,000</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0.03</w:t>
            </w:r>
          </w:p>
        </w:tc>
        <w:tc>
          <w:tcPr>
            <w:tcW w:w="40" w:type="dxa"/>
            <w:vAlign w:val="bottom"/>
          </w:tcPr>
          <w:p>
            <w:pPr>
              <w:spacing w:after="0"/>
              <w:rPr>
                <w:sz w:val="14"/>
                <w:szCs w:val="14"/>
                <w:color w:val="auto"/>
              </w:rPr>
            </w:pPr>
          </w:p>
        </w:tc>
      </w:tr>
      <w:tr>
        <w:trPr>
          <w:trHeight w:val="148"/>
        </w:trPr>
        <w:tc>
          <w:tcPr>
            <w:tcW w:w="12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$0.600/</w:t>
            </w:r>
          </w:p>
        </w:tc>
        <w:tc>
          <w:tcPr>
            <w:tcW w:w="10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share, expires 6/1/2025</w:t>
            </w:r>
          </w:p>
        </w:tc>
        <w:tc>
          <w:tcPr>
            <w:tcW w:w="10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70"/>
        </w:trPr>
        <w:tc>
          <w:tcPr>
            <w:tcW w:w="1260" w:type="dxa"/>
            <w:vAlign w:val="bottom"/>
          </w:tcPr>
          <w:p>
            <w:pPr>
              <w:ind w:left="140"/>
              <w:spacing w:after="0"/>
              <w:rPr>
                <w:sz w:val="20"/>
                <w:szCs w:val="20"/>
                <w:color w:val="auto"/>
              </w:rPr>
            </w:pPr>
            <w:r>
              <w:rPr>
                <w:rFonts w:ascii="Arial" w:cs="Arial" w:eastAsia="Arial" w:hAnsi="Arial"/>
                <w:sz w:val="14"/>
                <w:szCs w:val="14"/>
                <w:color w:val="auto"/>
              </w:rPr>
              <w:t>eSilicon</w:t>
            </w:r>
          </w:p>
        </w:tc>
        <w:tc>
          <w:tcPr>
            <w:tcW w:w="1480" w:type="dxa"/>
            <w:vAlign w:val="bottom"/>
          </w:tcPr>
          <w:p>
            <w:pPr>
              <w:ind w:left="60"/>
              <w:spacing w:after="0"/>
              <w:rPr>
                <w:sz w:val="20"/>
                <w:szCs w:val="20"/>
                <w:color w:val="auto"/>
              </w:rPr>
            </w:pPr>
            <w:r>
              <w:rPr>
                <w:rFonts w:ascii="Arial" w:cs="Arial" w:eastAsia="Arial" w:hAnsi="Arial"/>
                <w:sz w:val="14"/>
                <w:szCs w:val="14"/>
                <w:color w:val="auto"/>
              </w:rPr>
              <w:t>Semiconductors</w:t>
            </w:r>
          </w:p>
        </w:tc>
        <w:tc>
          <w:tcPr>
            <w:tcW w:w="2300" w:type="dxa"/>
            <w:vAlign w:val="bottom"/>
          </w:tcPr>
          <w:p>
            <w:pPr>
              <w:ind w:left="100"/>
              <w:spacing w:after="0"/>
              <w:rPr>
                <w:sz w:val="20"/>
                <w:szCs w:val="20"/>
                <w:color w:val="auto"/>
              </w:rPr>
            </w:pPr>
            <w:r>
              <w:rPr>
                <w:rFonts w:ascii="Arial" w:cs="Arial" w:eastAsia="Arial" w:hAnsi="Arial"/>
                <w:sz w:val="14"/>
                <w:szCs w:val="14"/>
                <w:color w:val="auto"/>
              </w:rPr>
              <w:t>Warrant for Series H Preferred</w:t>
            </w:r>
          </w:p>
        </w:tc>
        <w:tc>
          <w:tcPr>
            <w:tcW w:w="1060" w:type="dxa"/>
            <w:vAlign w:val="bottom"/>
          </w:tcPr>
          <w:p>
            <w:pPr>
              <w:jc w:val="center"/>
              <w:ind w:left="68"/>
              <w:spacing w:after="0"/>
              <w:rPr>
                <w:sz w:val="20"/>
                <w:szCs w:val="20"/>
                <w:color w:val="auto"/>
              </w:rPr>
            </w:pPr>
            <w:r>
              <w:rPr>
                <w:rFonts w:ascii="Arial" w:cs="Arial" w:eastAsia="Arial" w:hAnsi="Arial"/>
                <w:sz w:val="14"/>
                <w:szCs w:val="14"/>
                <w:color w:val="auto"/>
                <w:w w:val="96"/>
              </w:rPr>
              <w:t>7/31/2017</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1,485,149</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543,564</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1,005,446</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0.60</w:t>
            </w:r>
          </w:p>
        </w:tc>
        <w:tc>
          <w:tcPr>
            <w:tcW w:w="40" w:type="dxa"/>
            <w:vAlign w:val="bottom"/>
          </w:tcPr>
          <w:p>
            <w:pPr>
              <w:spacing w:after="0"/>
              <w:rPr>
                <w:sz w:val="14"/>
                <w:szCs w:val="14"/>
                <w:color w:val="auto"/>
              </w:rPr>
            </w:pPr>
          </w:p>
        </w:tc>
      </w:tr>
      <w:tr>
        <w:trPr>
          <w:trHeight w:val="149"/>
        </w:trPr>
        <w:tc>
          <w:tcPr>
            <w:tcW w:w="1260" w:type="dxa"/>
            <w:vAlign w:val="bottom"/>
          </w:tcPr>
          <w:p>
            <w:pPr>
              <w:ind w:left="280"/>
              <w:spacing w:after="0" w:line="149" w:lineRule="exact"/>
              <w:rPr>
                <w:sz w:val="20"/>
                <w:szCs w:val="20"/>
                <w:color w:val="auto"/>
              </w:rPr>
            </w:pPr>
            <w:r>
              <w:rPr>
                <w:rFonts w:ascii="Arial" w:cs="Arial" w:eastAsia="Arial" w:hAnsi="Arial"/>
                <w:sz w:val="14"/>
                <w:szCs w:val="14"/>
                <w:color w:val="auto"/>
              </w:rPr>
              <w:t>Corporation</w:t>
            </w:r>
          </w:p>
        </w:tc>
        <w:tc>
          <w:tcPr>
            <w:tcW w:w="1480" w:type="dxa"/>
            <w:vAlign w:val="bottom"/>
          </w:tcPr>
          <w:p>
            <w:pPr>
              <w:spacing w:after="0"/>
              <w:rPr>
                <w:sz w:val="12"/>
                <w:szCs w:val="12"/>
                <w:color w:val="auto"/>
              </w:rPr>
            </w:pPr>
          </w:p>
        </w:tc>
        <w:tc>
          <w:tcPr>
            <w:tcW w:w="2300" w:type="dxa"/>
            <w:vAlign w:val="bottom"/>
          </w:tcPr>
          <w:p>
            <w:pPr>
              <w:ind w:left="100"/>
              <w:spacing w:after="0" w:line="149" w:lineRule="exact"/>
              <w:rPr>
                <w:sz w:val="20"/>
                <w:szCs w:val="20"/>
                <w:color w:val="auto"/>
              </w:rPr>
            </w:pPr>
            <w:r>
              <w:rPr>
                <w:rFonts w:ascii="Arial" w:cs="Arial" w:eastAsia="Arial" w:hAnsi="Arial"/>
                <w:sz w:val="14"/>
                <w:szCs w:val="14"/>
                <w:color w:val="auto"/>
              </w:rPr>
              <w:t>Stock, exercise price $1.01/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2"/>
        </w:trPr>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Arial" w:cs="Arial" w:eastAsia="Arial" w:hAnsi="Arial"/>
                <w:sz w:val="14"/>
                <w:szCs w:val="14"/>
                <w:color w:val="auto"/>
              </w:rPr>
              <w:t>share, expires 7/31/2027</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2"/>
        </w:trPr>
        <w:tc>
          <w:tcPr>
            <w:tcW w:w="1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70"/>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Jibe, Inc.</w:t>
            </w:r>
          </w:p>
        </w:tc>
        <w:tc>
          <w:tcPr>
            <w:tcW w:w="1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Application Software</w:t>
            </w:r>
          </w:p>
        </w:tc>
        <w:tc>
          <w:tcPr>
            <w:tcW w:w="2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Warrant for Series C Preferred</w:t>
            </w:r>
          </w:p>
        </w:tc>
        <w:tc>
          <w:tcPr>
            <w:tcW w:w="106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5"/>
              </w:rPr>
              <w:t>6/7/2018</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247,242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40,795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35,603</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0.02</w:t>
            </w:r>
          </w:p>
        </w:tc>
        <w:tc>
          <w:tcPr>
            <w:tcW w:w="40" w:type="dxa"/>
            <w:vAlign w:val="bottom"/>
          </w:tcPr>
          <w:p>
            <w:pPr>
              <w:spacing w:after="0"/>
              <w:rPr>
                <w:sz w:val="14"/>
                <w:szCs w:val="14"/>
                <w:color w:val="auto"/>
              </w:rPr>
            </w:pPr>
          </w:p>
        </w:tc>
      </w:tr>
      <w:tr>
        <w:trPr>
          <w:trHeight w:val="148"/>
        </w:trPr>
        <w:tc>
          <w:tcPr>
            <w:tcW w:w="12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$2.265/</w:t>
            </w:r>
          </w:p>
        </w:tc>
        <w:tc>
          <w:tcPr>
            <w:tcW w:w="10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215"/>
        </w:trPr>
        <w:tc>
          <w:tcPr>
            <w:tcW w:w="12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share, expires 6/7/2028</w:t>
            </w:r>
          </w:p>
        </w:tc>
        <w:tc>
          <w:tcPr>
            <w:tcW w:w="10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70"/>
        </w:trPr>
        <w:tc>
          <w:tcPr>
            <w:tcW w:w="1260" w:type="dxa"/>
            <w:vAlign w:val="bottom"/>
          </w:tcPr>
          <w:p>
            <w:pPr>
              <w:ind w:left="140"/>
              <w:spacing w:after="0"/>
              <w:rPr>
                <w:sz w:val="20"/>
                <w:szCs w:val="20"/>
                <w:color w:val="auto"/>
              </w:rPr>
            </w:pPr>
            <w:r>
              <w:rPr>
                <w:rFonts w:ascii="Arial" w:cs="Arial" w:eastAsia="Arial" w:hAnsi="Arial"/>
                <w:sz w:val="14"/>
                <w:szCs w:val="14"/>
                <w:color w:val="auto"/>
              </w:rPr>
              <w:t>MingleHealth</w:t>
            </w:r>
          </w:p>
        </w:tc>
        <w:tc>
          <w:tcPr>
            <w:tcW w:w="1480" w:type="dxa"/>
            <w:vAlign w:val="bottom"/>
          </w:tcPr>
          <w:p>
            <w:pPr>
              <w:ind w:left="60"/>
              <w:spacing w:after="0"/>
              <w:rPr>
                <w:sz w:val="20"/>
                <w:szCs w:val="20"/>
                <w:color w:val="auto"/>
              </w:rPr>
            </w:pPr>
            <w:r>
              <w:rPr>
                <w:rFonts w:ascii="Arial" w:cs="Arial" w:eastAsia="Arial" w:hAnsi="Arial"/>
                <w:sz w:val="14"/>
                <w:szCs w:val="14"/>
                <w:color w:val="auto"/>
                <w:w w:val="97"/>
              </w:rPr>
              <w:t>Healthcare Technology</w:t>
            </w:r>
          </w:p>
        </w:tc>
        <w:tc>
          <w:tcPr>
            <w:tcW w:w="2300" w:type="dxa"/>
            <w:vAlign w:val="bottom"/>
          </w:tcPr>
          <w:p>
            <w:pPr>
              <w:ind w:left="100"/>
              <w:spacing w:after="0"/>
              <w:rPr>
                <w:sz w:val="20"/>
                <w:szCs w:val="20"/>
                <w:color w:val="auto"/>
              </w:rPr>
            </w:pPr>
            <w:r>
              <w:rPr>
                <w:rFonts w:ascii="Arial" w:cs="Arial" w:eastAsia="Arial" w:hAnsi="Arial"/>
                <w:sz w:val="14"/>
                <w:szCs w:val="14"/>
                <w:color w:val="auto"/>
              </w:rPr>
              <w:t>Warrant for Series AA Preferred</w:t>
            </w:r>
          </w:p>
        </w:tc>
        <w:tc>
          <w:tcPr>
            <w:tcW w:w="1060" w:type="dxa"/>
            <w:vAlign w:val="bottom"/>
          </w:tcPr>
          <w:p>
            <w:pPr>
              <w:jc w:val="center"/>
              <w:ind w:left="68"/>
              <w:spacing w:after="0"/>
              <w:rPr>
                <w:sz w:val="20"/>
                <w:szCs w:val="20"/>
                <w:color w:val="auto"/>
              </w:rPr>
            </w:pPr>
            <w:r>
              <w:rPr>
                <w:rFonts w:ascii="Arial" w:cs="Arial" w:eastAsia="Arial" w:hAnsi="Arial"/>
                <w:sz w:val="14"/>
                <w:szCs w:val="14"/>
                <w:color w:val="auto"/>
                <w:w w:val="96"/>
              </w:rPr>
              <w:t>8/15/2018</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1,625,000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492,375</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471,913</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0.28</w:t>
            </w:r>
          </w:p>
        </w:tc>
        <w:tc>
          <w:tcPr>
            <w:tcW w:w="40" w:type="dxa"/>
            <w:vAlign w:val="bottom"/>
          </w:tcPr>
          <w:p>
            <w:pPr>
              <w:spacing w:after="0"/>
              <w:rPr>
                <w:sz w:val="14"/>
                <w:szCs w:val="14"/>
                <w:color w:val="auto"/>
              </w:rPr>
            </w:pPr>
          </w:p>
        </w:tc>
      </w:tr>
      <w:tr>
        <w:trPr>
          <w:trHeight w:val="148"/>
        </w:trPr>
        <w:tc>
          <w:tcPr>
            <w:tcW w:w="1260" w:type="dxa"/>
            <w:vAlign w:val="bottom"/>
          </w:tcPr>
          <w:p>
            <w:pPr>
              <w:ind w:left="280"/>
              <w:spacing w:after="0" w:line="149" w:lineRule="exact"/>
              <w:rPr>
                <w:sz w:val="20"/>
                <w:szCs w:val="20"/>
                <w:color w:val="auto"/>
              </w:rPr>
            </w:pPr>
            <w:r>
              <w:rPr>
                <w:rFonts w:ascii="Arial" w:cs="Arial" w:eastAsia="Arial" w:hAnsi="Arial"/>
                <w:sz w:val="14"/>
                <w:szCs w:val="14"/>
                <w:color w:val="auto"/>
              </w:rPr>
              <w:t>Care Solutions,</w:t>
            </w:r>
          </w:p>
        </w:tc>
        <w:tc>
          <w:tcPr>
            <w:tcW w:w="1480" w:type="dxa"/>
            <w:vAlign w:val="bottom"/>
          </w:tcPr>
          <w:p>
            <w:pPr>
              <w:spacing w:after="0"/>
              <w:rPr>
                <w:sz w:val="12"/>
                <w:szCs w:val="12"/>
                <w:color w:val="auto"/>
              </w:rPr>
            </w:pPr>
          </w:p>
        </w:tc>
        <w:tc>
          <w:tcPr>
            <w:tcW w:w="2300" w:type="dxa"/>
            <w:vAlign w:val="bottom"/>
          </w:tcPr>
          <w:p>
            <w:pPr>
              <w:ind w:left="100"/>
              <w:spacing w:after="0" w:line="149" w:lineRule="exact"/>
              <w:rPr>
                <w:sz w:val="20"/>
                <w:szCs w:val="20"/>
                <w:color w:val="auto"/>
              </w:rPr>
            </w:pPr>
            <w:r>
              <w:rPr>
                <w:rFonts w:ascii="Arial" w:cs="Arial" w:eastAsia="Arial" w:hAnsi="Arial"/>
                <w:sz w:val="14"/>
                <w:szCs w:val="14"/>
                <w:color w:val="auto"/>
              </w:rPr>
              <w:t>Stock, exercise price $0.24/</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2"/>
        </w:trPr>
        <w:tc>
          <w:tcPr>
            <w:tcW w:w="1260" w:type="dxa"/>
            <w:vAlign w:val="bottom"/>
          </w:tcPr>
          <w:p>
            <w:pPr>
              <w:ind w:left="280"/>
              <w:spacing w:after="0"/>
              <w:rPr>
                <w:sz w:val="20"/>
                <w:szCs w:val="20"/>
                <w:color w:val="auto"/>
              </w:rPr>
            </w:pPr>
            <w:r>
              <w:rPr>
                <w:rFonts w:ascii="Arial" w:cs="Arial" w:eastAsia="Arial" w:hAnsi="Arial"/>
                <w:sz w:val="14"/>
                <w:szCs w:val="14"/>
                <w:color w:val="auto"/>
              </w:rPr>
              <w:t>Inc.</w:t>
            </w:r>
          </w:p>
        </w:tc>
        <w:tc>
          <w:tcPr>
            <w:tcW w:w="148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Arial" w:cs="Arial" w:eastAsia="Arial" w:hAnsi="Arial"/>
                <w:sz w:val="14"/>
                <w:szCs w:val="14"/>
                <w:color w:val="auto"/>
              </w:rPr>
              <w:t>share, expires 8/15/2028</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-4337685</wp:posOffset>
            </wp:positionV>
            <wp:extent cx="61804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7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60"/>
          </w:cols>
          <w:pgMar w:left="320" w:top="131" w:right="1319" w:bottom="1440" w:gutter="0" w:footer="0" w:header="0"/>
        </w:sectPr>
      </w:pPr>
    </w:p>
    <w:bookmarkStart w:id="88" w:name="page89"/>
    <w:bookmarkEnd w:id="88"/>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December 31, 2018</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25"/>
        </w:trPr>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Portfolio Companies</w:t>
            </w:r>
          </w:p>
        </w:tc>
        <w:tc>
          <w:tcPr>
            <w:tcW w:w="15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Sub-Industry</w:t>
            </w: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Investment Description</w:t>
            </w:r>
          </w:p>
        </w:tc>
        <w:tc>
          <w:tcPr>
            <w:tcW w:w="900" w:type="dxa"/>
            <w:vAlign w:val="bottom"/>
          </w:tcPr>
          <w:p>
            <w:pPr>
              <w:jc w:val="right"/>
              <w:ind w:right="26"/>
              <w:spacing w:after="0"/>
              <w:rPr>
                <w:sz w:val="20"/>
                <w:szCs w:val="20"/>
                <w:color w:val="auto"/>
              </w:rPr>
            </w:pPr>
            <w:r>
              <w:rPr>
                <w:rFonts w:ascii="Arial" w:cs="Arial" w:eastAsia="Arial" w:hAnsi="Arial"/>
                <w:sz w:val="11"/>
                <w:szCs w:val="11"/>
                <w:b w:val="1"/>
                <w:bCs w:val="1"/>
                <w:color w:val="auto"/>
                <w:w w:val="87"/>
              </w:rPr>
              <w:t>(1),(5),(6),(11),(13)</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Acquisition</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Principal/</w:t>
            </w:r>
          </w:p>
        </w:tc>
        <w:tc>
          <w:tcPr>
            <w:tcW w:w="100" w:type="dxa"/>
            <w:vAlign w:val="bottom"/>
          </w:tcPr>
          <w:p>
            <w:pPr>
              <w:spacing w:after="0"/>
              <w:rPr>
                <w:sz w:val="19"/>
                <w:szCs w:val="19"/>
                <w:color w:val="auto"/>
              </w:rPr>
            </w:pPr>
          </w:p>
        </w:tc>
        <w:tc>
          <w:tcPr>
            <w:tcW w:w="9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w:t>
            </w:r>
          </w:p>
        </w:tc>
        <w:tc>
          <w:tcPr>
            <w:tcW w:w="200" w:type="dxa"/>
            <w:vAlign w:val="bottom"/>
          </w:tcPr>
          <w:p>
            <w:pPr>
              <w:spacing w:after="0"/>
              <w:rPr>
                <w:sz w:val="19"/>
                <w:szCs w:val="19"/>
                <w:color w:val="auto"/>
              </w:rPr>
            </w:pPr>
          </w:p>
        </w:tc>
        <w:tc>
          <w:tcPr>
            <w:tcW w:w="520" w:type="dxa"/>
            <w:vAlign w:val="bottom"/>
            <w:gridSpan w:val="3"/>
          </w:tcPr>
          <w:p>
            <w:pPr>
              <w:ind w:left="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1320" w:type="dxa"/>
            <w:vAlign w:val="bottom"/>
            <w:gridSpan w:val="2"/>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Fair Value</w:t>
            </w:r>
          </w:p>
        </w:tc>
        <w:tc>
          <w:tcPr>
            <w:tcW w:w="5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00" w:type="dxa"/>
            <w:vAlign w:val="bottom"/>
            <w:gridSpan w:val="7"/>
            <w:shd w:val="clear" w:color="auto" w:fill="CCEEFF"/>
          </w:tcPr>
          <w:p>
            <w:pPr>
              <w:spacing w:after="0"/>
              <w:rPr>
                <w:sz w:val="20"/>
                <w:szCs w:val="20"/>
                <w:color w:val="auto"/>
              </w:rPr>
            </w:pPr>
            <w:r>
              <w:rPr>
                <w:rFonts w:ascii="Arial" w:cs="Arial" w:eastAsia="Arial" w:hAnsi="Arial"/>
                <w:sz w:val="14"/>
                <w:szCs w:val="14"/>
                <w:b w:val="1"/>
                <w:bCs w:val="1"/>
                <w:color w:val="auto"/>
              </w:rPr>
              <w:t>Non-control/non-affiliate investments (continued)</w:t>
            </w:r>
          </w:p>
        </w:tc>
        <w:tc>
          <w:tcPr>
            <w:tcW w:w="900" w:type="dxa"/>
            <w:vAlign w:val="bottom"/>
            <w:tcBorders>
              <w:right w:val="single" w:sz="8" w:color="CCEEFF"/>
            </w:tcBorders>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76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right w:val="single" w:sz="8" w:color="CCEEFF"/>
            </w:tcBorders>
            <w:shd w:val="clear" w:color="auto" w:fill="CCEEFF"/>
          </w:tcPr>
          <w:p>
            <w:pPr>
              <w:spacing w:after="0"/>
              <w:rPr>
                <w:sz w:val="5"/>
                <w:szCs w:val="5"/>
                <w:color w:val="auto"/>
              </w:rPr>
            </w:pPr>
          </w:p>
        </w:tc>
        <w:tc>
          <w:tcPr>
            <w:tcW w:w="920" w:type="dxa"/>
            <w:vAlign w:val="bottom"/>
            <w:tcBorders>
              <w:top w:val="single" w:sz="8" w:color="CCEEFF"/>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right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820" w:type="dxa"/>
            <w:vAlign w:val="bottom"/>
            <w:gridSpan w:val="5"/>
          </w:tcPr>
          <w:p>
            <w:pPr>
              <w:spacing w:after="0"/>
              <w:rPr>
                <w:sz w:val="20"/>
                <w:szCs w:val="20"/>
                <w:color w:val="auto"/>
              </w:rPr>
            </w:pPr>
            <w:r>
              <w:rPr>
                <w:rFonts w:ascii="Arial" w:cs="Arial" w:eastAsia="Arial" w:hAnsi="Arial"/>
                <w:sz w:val="14"/>
                <w:szCs w:val="14"/>
                <w:b w:val="1"/>
                <w:bCs w:val="1"/>
                <w:color w:val="auto"/>
              </w:rPr>
              <w:t>Warrants</w:t>
            </w:r>
            <w:r>
              <w:rPr>
                <w:rFonts w:ascii="Arial" w:cs="Arial" w:eastAsia="Arial" w:hAnsi="Arial"/>
                <w:sz w:val="21"/>
                <w:szCs w:val="21"/>
                <w:b w:val="1"/>
                <w:bCs w:val="1"/>
                <w:color w:val="auto"/>
                <w:vertAlign w:val="superscript"/>
              </w:rPr>
              <w:t>(8)</w:t>
            </w:r>
            <w:r>
              <w:rPr>
                <w:rFonts w:ascii="Arial" w:cs="Arial" w:eastAsia="Arial" w:hAnsi="Arial"/>
                <w:sz w:val="14"/>
                <w:szCs w:val="14"/>
                <w:b w:val="1"/>
                <w:bCs w:val="1"/>
                <w:color w:val="auto"/>
              </w:rPr>
              <w:t xml:space="preserve"> (continued)</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13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Mobius Imaging,</w:t>
            </w:r>
          </w:p>
        </w:tc>
        <w:tc>
          <w:tcPr>
            <w:tcW w:w="15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Healthcare Technology</w:t>
            </w:r>
          </w:p>
        </w:tc>
        <w:tc>
          <w:tcPr>
            <w:tcW w:w="238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Warrant for next round security,</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11/23/2018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7,123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1,820,000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1,820,000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20" w:type="dxa"/>
            <w:vAlign w:val="bottom"/>
            <w:tcBorders>
              <w:right w:val="single" w:sz="8" w:color="CCEEFF"/>
            </w:tcBorders>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LLC</w:t>
            </w: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38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exercise price $136/share,</w:t>
            </w:r>
          </w:p>
        </w:tc>
        <w:tc>
          <w:tcPr>
            <w:tcW w:w="9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right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expires 11/23/2028</w:t>
            </w:r>
          </w:p>
        </w:tc>
        <w:tc>
          <w:tcPr>
            <w:tcW w:w="900" w:type="dxa"/>
            <w:vAlign w:val="bottom"/>
            <w:tcBorders>
              <w:bottom w:val="single" w:sz="8" w:color="CCEEFF"/>
              <w:right w:val="single" w:sz="8" w:color="CCEEFF"/>
            </w:tcBorders>
            <w:shd w:val="clear" w:color="auto" w:fill="CCEEFF"/>
          </w:tcPr>
          <w:p>
            <w:pPr>
              <w:spacing w:after="0"/>
              <w:rPr>
                <w:sz w:val="16"/>
                <w:szCs w:val="16"/>
                <w:color w:val="auto"/>
              </w:rPr>
            </w:pPr>
          </w:p>
        </w:tc>
        <w:tc>
          <w:tcPr>
            <w:tcW w:w="920" w:type="dxa"/>
            <w:vAlign w:val="bottom"/>
            <w:tcBorders>
              <w:bottom w:val="single" w:sz="8" w:color="CCEEFF"/>
              <w:right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right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320" w:type="dxa"/>
            <w:vAlign w:val="bottom"/>
            <w:gridSpan w:val="2"/>
          </w:tcPr>
          <w:p>
            <w:pPr>
              <w:ind w:left="140"/>
              <w:spacing w:after="0"/>
              <w:rPr>
                <w:sz w:val="20"/>
                <w:szCs w:val="20"/>
                <w:color w:val="auto"/>
              </w:rPr>
            </w:pPr>
            <w:r>
              <w:rPr>
                <w:rFonts w:ascii="Arial" w:cs="Arial" w:eastAsia="Arial" w:hAnsi="Arial"/>
                <w:sz w:val="14"/>
                <w:szCs w:val="14"/>
                <w:color w:val="auto"/>
              </w:rPr>
              <w:t>Mojix, Inc.</w:t>
            </w:r>
          </w:p>
        </w:tc>
        <w:tc>
          <w:tcPr>
            <w:tcW w:w="1500" w:type="dxa"/>
            <w:vAlign w:val="bottom"/>
            <w:gridSpan w:val="3"/>
          </w:tcPr>
          <w:p>
            <w:pPr>
              <w:spacing w:after="0"/>
              <w:rPr>
                <w:sz w:val="20"/>
                <w:szCs w:val="20"/>
                <w:color w:val="auto"/>
              </w:rPr>
            </w:pPr>
            <w:r>
              <w:rPr>
                <w:rFonts w:ascii="Arial" w:cs="Arial" w:eastAsia="Arial" w:hAnsi="Arial"/>
                <w:sz w:val="14"/>
                <w:szCs w:val="14"/>
                <w:color w:val="auto"/>
              </w:rPr>
              <w:t>Application Software</w:t>
            </w:r>
          </w:p>
        </w:tc>
        <w:tc>
          <w:tcPr>
            <w:tcW w:w="2380" w:type="dxa"/>
            <w:vAlign w:val="bottom"/>
            <w:gridSpan w:val="3"/>
          </w:tcPr>
          <w:p>
            <w:pPr>
              <w:ind w:left="20"/>
              <w:spacing w:after="0"/>
              <w:rPr>
                <w:sz w:val="20"/>
                <w:szCs w:val="20"/>
                <w:color w:val="auto"/>
              </w:rPr>
            </w:pPr>
            <w:r>
              <w:rPr>
                <w:rFonts w:ascii="Arial" w:cs="Arial" w:eastAsia="Arial" w:hAnsi="Arial"/>
                <w:sz w:val="14"/>
                <w:szCs w:val="14"/>
                <w:color w:val="auto"/>
              </w:rPr>
              <w:t>Warrants for Common Stock,</w:t>
            </w: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5/16/2017</w:t>
            </w:r>
          </w:p>
        </w:tc>
        <w:tc>
          <w:tcPr>
            <w:tcW w:w="20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164,427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417,645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3"/>
          </w:tcPr>
          <w:p>
            <w:pPr>
              <w:ind w:left="20"/>
              <w:spacing w:after="0" w:line="141" w:lineRule="exact"/>
              <w:rPr>
                <w:sz w:val="20"/>
                <w:szCs w:val="20"/>
                <w:color w:val="auto"/>
              </w:rPr>
            </w:pPr>
            <w:r>
              <w:rPr>
                <w:rFonts w:ascii="Arial" w:cs="Arial" w:eastAsia="Arial" w:hAnsi="Arial"/>
                <w:sz w:val="14"/>
                <w:szCs w:val="14"/>
                <w:color w:val="auto"/>
              </w:rPr>
              <w:t>exercise price $10.64/share,</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20"/>
              <w:spacing w:after="0" w:line="230" w:lineRule="exact"/>
              <w:rPr>
                <w:sz w:val="20"/>
                <w:szCs w:val="20"/>
                <w:color w:val="auto"/>
              </w:rPr>
            </w:pPr>
            <w:r>
              <w:rPr>
                <w:rFonts w:ascii="Arial" w:cs="Arial" w:eastAsia="Arial" w:hAnsi="Arial"/>
                <w:sz w:val="14"/>
                <w:szCs w:val="14"/>
                <w:color w:val="auto"/>
                <w:w w:val="91"/>
              </w:rPr>
              <w:t>expires 5/16/2027</w:t>
            </w:r>
            <w:r>
              <w:rPr>
                <w:rFonts w:ascii="Arial" w:cs="Arial" w:eastAsia="Arial" w:hAnsi="Arial"/>
                <w:sz w:val="21"/>
                <w:szCs w:val="21"/>
                <w:color w:val="auto"/>
                <w:w w:val="91"/>
                <w:vertAlign w:val="superscript"/>
              </w:rPr>
              <w:t>(9),(10)</w:t>
            </w: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6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38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Warrants for Series 1 Preferred</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12/20/2018</w:t>
            </w: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99"/>
              </w:rPr>
              <w:t>7,176,973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806,991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798,389</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0.48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380" w:type="dxa"/>
            <w:vAlign w:val="bottom"/>
            <w:tcBorders>
              <w:right w:val="single" w:sz="8" w:color="CCEEFF"/>
            </w:tcBorders>
            <w:gridSpan w:val="3"/>
            <w:shd w:val="clear" w:color="auto" w:fill="CCEEFF"/>
          </w:tcPr>
          <w:p>
            <w:pPr>
              <w:ind w:left="20"/>
              <w:spacing w:after="0" w:line="141" w:lineRule="exact"/>
              <w:rPr>
                <w:sz w:val="20"/>
                <w:szCs w:val="20"/>
                <w:color w:val="auto"/>
              </w:rPr>
            </w:pPr>
            <w:r>
              <w:rPr>
                <w:rFonts w:ascii="Arial" w:cs="Arial" w:eastAsia="Arial" w:hAnsi="Arial"/>
                <w:sz w:val="14"/>
                <w:szCs w:val="14"/>
                <w:color w:val="auto"/>
              </w:rPr>
              <w:t>Stock, exercise price $0.28/share,</w:t>
            </w:r>
          </w:p>
        </w:tc>
        <w:tc>
          <w:tcPr>
            <w:tcW w:w="9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4"/>
                <w:szCs w:val="14"/>
                <w:color w:val="auto"/>
                <w:w w:val="87"/>
              </w:rPr>
              <w:t>expires 12/20/2028</w:t>
            </w:r>
            <w:r>
              <w:rPr>
                <w:rFonts w:ascii="Arial" w:cs="Arial" w:eastAsia="Arial" w:hAnsi="Arial"/>
                <w:sz w:val="21"/>
                <w:szCs w:val="21"/>
                <w:color w:val="auto"/>
                <w:w w:val="87"/>
                <w:vertAlign w:val="superscript"/>
              </w:rPr>
              <w:t>(9),(10)</w:t>
            </w:r>
          </w:p>
        </w:tc>
        <w:tc>
          <w:tcPr>
            <w:tcW w:w="90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320" w:type="dxa"/>
            <w:vAlign w:val="bottom"/>
            <w:gridSpan w:val="2"/>
          </w:tcPr>
          <w:p>
            <w:pPr>
              <w:ind w:left="140"/>
              <w:spacing w:after="0"/>
              <w:rPr>
                <w:sz w:val="20"/>
                <w:szCs w:val="20"/>
                <w:color w:val="auto"/>
              </w:rPr>
            </w:pPr>
            <w:r>
              <w:rPr>
                <w:rFonts w:ascii="Arial" w:cs="Arial" w:eastAsia="Arial" w:hAnsi="Arial"/>
                <w:sz w:val="14"/>
                <w:szCs w:val="14"/>
                <w:color w:val="auto"/>
              </w:rPr>
              <w:t>3DNA Corp.(dba</w:t>
            </w:r>
          </w:p>
        </w:tc>
        <w:tc>
          <w:tcPr>
            <w:tcW w:w="1500" w:type="dxa"/>
            <w:vAlign w:val="bottom"/>
            <w:gridSpan w:val="3"/>
          </w:tcPr>
          <w:p>
            <w:pPr>
              <w:spacing w:after="0"/>
              <w:rPr>
                <w:sz w:val="20"/>
                <w:szCs w:val="20"/>
                <w:color w:val="auto"/>
              </w:rPr>
            </w:pPr>
            <w:r>
              <w:rPr>
                <w:rFonts w:ascii="Arial" w:cs="Arial" w:eastAsia="Arial" w:hAnsi="Arial"/>
                <w:sz w:val="14"/>
                <w:szCs w:val="14"/>
                <w:color w:val="auto"/>
              </w:rPr>
              <w:t>Application Software</w:t>
            </w:r>
          </w:p>
        </w:tc>
        <w:tc>
          <w:tcPr>
            <w:tcW w:w="2380" w:type="dxa"/>
            <w:vAlign w:val="bottom"/>
            <w:gridSpan w:val="3"/>
          </w:tcPr>
          <w:p>
            <w:pPr>
              <w:ind w:left="20"/>
              <w:spacing w:after="0"/>
              <w:rPr>
                <w:sz w:val="20"/>
                <w:szCs w:val="20"/>
                <w:color w:val="auto"/>
              </w:rPr>
            </w:pPr>
            <w:r>
              <w:rPr>
                <w:rFonts w:ascii="Arial" w:cs="Arial" w:eastAsia="Arial" w:hAnsi="Arial"/>
                <w:sz w:val="14"/>
                <w:szCs w:val="14"/>
                <w:color w:val="auto"/>
              </w:rPr>
              <w:t>Warrant for Series C-1 Preferred</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12/28/2018</w:t>
            </w:r>
          </w:p>
        </w:tc>
        <w:tc>
          <w:tcPr>
            <w:tcW w:w="20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273,164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104,138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104,138</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0.06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NationBuilder)</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Stock, exercise price $1.4643/</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
          </w:tcPr>
          <w:p>
            <w:pPr>
              <w:ind w:left="20"/>
              <w:spacing w:after="0"/>
              <w:rPr>
                <w:sz w:val="20"/>
                <w:szCs w:val="20"/>
                <w:color w:val="auto"/>
              </w:rPr>
            </w:pPr>
            <w:r>
              <w:rPr>
                <w:rFonts w:ascii="Arial" w:cs="Arial" w:eastAsia="Arial" w:hAnsi="Arial"/>
                <w:sz w:val="14"/>
                <w:szCs w:val="14"/>
                <w:color w:val="auto"/>
              </w:rPr>
              <w:t>share, expires 12/28/2028</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Ouster, Inc.</w:t>
            </w:r>
          </w:p>
        </w:tc>
        <w:tc>
          <w:tcPr>
            <w:tcW w:w="15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Technology Hardware,</w:t>
            </w:r>
          </w:p>
        </w:tc>
        <w:tc>
          <w:tcPr>
            <w:tcW w:w="238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Warrant for Series A Preferred</w:t>
            </w:r>
          </w:p>
        </w:tc>
        <w:tc>
          <w:tcPr>
            <w:tcW w:w="9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500" w:type="dxa"/>
            <w:vAlign w:val="bottom"/>
            <w:tcBorders>
              <w:right w:val="single" w:sz="8" w:color="CCEEFF"/>
            </w:tcBorders>
            <w:gridSpan w:val="3"/>
            <w:shd w:val="clear" w:color="auto" w:fill="CCEEFF"/>
          </w:tcPr>
          <w:p>
            <w:pPr>
              <w:spacing w:after="0" w:line="141" w:lineRule="exact"/>
              <w:rPr>
                <w:sz w:val="20"/>
                <w:szCs w:val="20"/>
                <w:color w:val="auto"/>
              </w:rPr>
            </w:pPr>
            <w:r>
              <w:rPr>
                <w:rFonts w:ascii="Arial" w:cs="Arial" w:eastAsia="Arial" w:hAnsi="Arial"/>
                <w:sz w:val="14"/>
                <w:szCs w:val="14"/>
                <w:color w:val="auto"/>
              </w:rPr>
              <w:t>Storage &amp; Peripherals</w:t>
            </w:r>
          </w:p>
        </w:tc>
        <w:tc>
          <w:tcPr>
            <w:tcW w:w="2380" w:type="dxa"/>
            <w:vAlign w:val="bottom"/>
            <w:tcBorders>
              <w:right w:val="single" w:sz="8" w:color="CCEEFF"/>
            </w:tcBorders>
            <w:gridSpan w:val="3"/>
            <w:shd w:val="clear" w:color="auto" w:fill="CCEEFF"/>
          </w:tcPr>
          <w:p>
            <w:pPr>
              <w:ind w:left="20"/>
              <w:spacing w:after="0" w:line="141" w:lineRule="exact"/>
              <w:rPr>
                <w:sz w:val="20"/>
                <w:szCs w:val="20"/>
                <w:color w:val="auto"/>
              </w:rPr>
            </w:pPr>
            <w:r>
              <w:rPr>
                <w:rFonts w:ascii="Arial" w:cs="Arial" w:eastAsia="Arial" w:hAnsi="Arial"/>
                <w:sz w:val="14"/>
                <w:szCs w:val="14"/>
                <w:color w:val="auto"/>
              </w:rPr>
              <w:t>Stock, exercise price $11.3158/</w:t>
            </w:r>
          </w:p>
        </w:tc>
        <w:tc>
          <w:tcPr>
            <w:tcW w:w="9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380" w:type="dxa"/>
            <w:vAlign w:val="bottom"/>
            <w:tcBorders>
              <w:right w:val="single" w:sz="8" w:color="CCEEFF"/>
            </w:tcBorders>
            <w:gridSpan w:val="3"/>
            <w:shd w:val="clear" w:color="auto" w:fill="CCEEFF"/>
          </w:tcPr>
          <w:p>
            <w:pPr>
              <w:ind w:left="20"/>
              <w:spacing w:after="0" w:line="230" w:lineRule="exact"/>
              <w:rPr>
                <w:sz w:val="20"/>
                <w:szCs w:val="20"/>
                <w:color w:val="auto"/>
              </w:rPr>
            </w:pPr>
            <w:r>
              <w:rPr>
                <w:rFonts w:ascii="Arial" w:cs="Arial" w:eastAsia="Arial" w:hAnsi="Arial"/>
                <w:sz w:val="14"/>
                <w:szCs w:val="14"/>
                <w:color w:val="auto"/>
              </w:rPr>
              <w:t>share, expires 11/27/2028</w:t>
            </w:r>
            <w:r>
              <w:rPr>
                <w:rFonts w:ascii="Arial" w:cs="Arial" w:eastAsia="Arial" w:hAnsi="Arial"/>
                <w:sz w:val="21"/>
                <w:szCs w:val="21"/>
                <w:color w:val="auto"/>
                <w:vertAlign w:val="superscript"/>
              </w:rPr>
              <w:t>(14)</w:t>
            </w:r>
          </w:p>
        </w:tc>
        <w:tc>
          <w:tcPr>
            <w:tcW w:w="9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320" w:type="dxa"/>
            <w:vAlign w:val="bottom"/>
            <w:gridSpan w:val="2"/>
          </w:tcPr>
          <w:p>
            <w:pPr>
              <w:ind w:left="140"/>
              <w:spacing w:after="0"/>
              <w:rPr>
                <w:sz w:val="20"/>
                <w:szCs w:val="20"/>
                <w:color w:val="auto"/>
              </w:rPr>
            </w:pPr>
            <w:r>
              <w:rPr>
                <w:rFonts w:ascii="Arial" w:cs="Arial" w:eastAsia="Arial" w:hAnsi="Arial"/>
                <w:sz w:val="14"/>
                <w:szCs w:val="14"/>
                <w:color w:val="auto"/>
              </w:rPr>
              <w:t>RealWear, Inc.</w:t>
            </w:r>
          </w:p>
        </w:tc>
        <w:tc>
          <w:tcPr>
            <w:tcW w:w="1500" w:type="dxa"/>
            <w:vAlign w:val="bottom"/>
            <w:gridSpan w:val="3"/>
          </w:tcPr>
          <w:p>
            <w:pPr>
              <w:spacing w:after="0"/>
              <w:rPr>
                <w:sz w:val="20"/>
                <w:szCs w:val="20"/>
                <w:color w:val="auto"/>
              </w:rPr>
            </w:pPr>
            <w:r>
              <w:rPr>
                <w:rFonts w:ascii="Arial" w:cs="Arial" w:eastAsia="Arial" w:hAnsi="Arial"/>
                <w:sz w:val="14"/>
                <w:szCs w:val="14"/>
                <w:color w:val="auto"/>
              </w:rPr>
              <w:t>Technology Hardware,</w:t>
            </w:r>
          </w:p>
        </w:tc>
        <w:tc>
          <w:tcPr>
            <w:tcW w:w="2380" w:type="dxa"/>
            <w:vAlign w:val="bottom"/>
            <w:gridSpan w:val="3"/>
          </w:tcPr>
          <w:p>
            <w:pPr>
              <w:ind w:left="20"/>
              <w:spacing w:after="0"/>
              <w:rPr>
                <w:sz w:val="20"/>
                <w:szCs w:val="20"/>
                <w:color w:val="auto"/>
              </w:rPr>
            </w:pPr>
            <w:r>
              <w:rPr>
                <w:rFonts w:ascii="Arial" w:cs="Arial" w:eastAsia="Arial" w:hAnsi="Arial"/>
                <w:sz w:val="14"/>
                <w:szCs w:val="14"/>
                <w:color w:val="auto"/>
              </w:rPr>
              <w:t>Warrant for Series A Preferred</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10/05/2018</w:t>
            </w:r>
          </w:p>
        </w:tc>
        <w:tc>
          <w:tcPr>
            <w:tcW w:w="20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112,451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135,841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141,435</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0.08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color w:val="auto"/>
              </w:rPr>
              <w:t>Storage &amp; Peripherals</w:t>
            </w:r>
          </w:p>
        </w:tc>
        <w:tc>
          <w:tcPr>
            <w:tcW w:w="23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Stock, exercise price $4.4464/</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color w:val="auto"/>
                <w:w w:val="93"/>
              </w:rPr>
              <w:t>share, expires 10/5/2028</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38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Warrant for Series A Preferred</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12/28/2018</w:t>
            </w: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22,491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25,248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28,288</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38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Stock, exercise price $4.4464/</w:t>
            </w:r>
          </w:p>
        </w:tc>
        <w:tc>
          <w:tcPr>
            <w:tcW w:w="9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right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238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share, expires 12/28/2028</w:t>
            </w:r>
          </w:p>
        </w:tc>
        <w:tc>
          <w:tcPr>
            <w:tcW w:w="920" w:type="dxa"/>
            <w:vAlign w:val="bottom"/>
            <w:tcBorders>
              <w:bottom w:val="single" w:sz="8" w:color="CCEEFF"/>
              <w:right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right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320" w:type="dxa"/>
            <w:vAlign w:val="bottom"/>
            <w:gridSpan w:val="2"/>
          </w:tcPr>
          <w:p>
            <w:pPr>
              <w:ind w:left="140"/>
              <w:spacing w:after="0"/>
              <w:rPr>
                <w:sz w:val="20"/>
                <w:szCs w:val="20"/>
                <w:color w:val="auto"/>
              </w:rPr>
            </w:pPr>
            <w:r>
              <w:rPr>
                <w:rFonts w:ascii="Arial" w:cs="Arial" w:eastAsia="Arial" w:hAnsi="Arial"/>
                <w:sz w:val="14"/>
                <w:szCs w:val="14"/>
                <w:color w:val="auto"/>
              </w:rPr>
              <w:t>RedSeal, Inc.</w:t>
            </w:r>
          </w:p>
        </w:tc>
        <w:tc>
          <w:tcPr>
            <w:tcW w:w="1500" w:type="dxa"/>
            <w:vAlign w:val="bottom"/>
            <w:gridSpan w:val="3"/>
          </w:tcPr>
          <w:p>
            <w:pPr>
              <w:spacing w:after="0"/>
              <w:rPr>
                <w:sz w:val="20"/>
                <w:szCs w:val="20"/>
                <w:color w:val="auto"/>
              </w:rPr>
            </w:pPr>
            <w:r>
              <w:rPr>
                <w:rFonts w:ascii="Arial" w:cs="Arial" w:eastAsia="Arial" w:hAnsi="Arial"/>
                <w:sz w:val="14"/>
                <w:szCs w:val="14"/>
                <w:color w:val="auto"/>
              </w:rPr>
              <w:t>Application Software</w:t>
            </w:r>
          </w:p>
        </w:tc>
        <w:tc>
          <w:tcPr>
            <w:tcW w:w="2380" w:type="dxa"/>
            <w:vAlign w:val="bottom"/>
            <w:gridSpan w:val="3"/>
          </w:tcPr>
          <w:p>
            <w:pPr>
              <w:ind w:left="20"/>
              <w:spacing w:after="0"/>
              <w:rPr>
                <w:sz w:val="20"/>
                <w:szCs w:val="20"/>
                <w:color w:val="auto"/>
              </w:rPr>
            </w:pPr>
            <w:r>
              <w:rPr>
                <w:rFonts w:ascii="Arial" w:cs="Arial" w:eastAsia="Arial" w:hAnsi="Arial"/>
                <w:sz w:val="14"/>
                <w:szCs w:val="14"/>
                <w:color w:val="auto"/>
              </w:rPr>
              <w:t>Warrant for Series C-Prime</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12/15/2017</w:t>
            </w:r>
          </w:p>
        </w:tc>
        <w:tc>
          <w:tcPr>
            <w:tcW w:w="20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w w:val="99"/>
              </w:rPr>
              <w:t>3,569,075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364,046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292,664</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Preferred Stock, exercise price</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
          </w:tcPr>
          <w:p>
            <w:pPr>
              <w:ind w:left="20"/>
              <w:spacing w:after="0"/>
              <w:rPr>
                <w:sz w:val="20"/>
                <w:szCs w:val="20"/>
                <w:color w:val="auto"/>
              </w:rPr>
            </w:pPr>
            <w:r>
              <w:rPr>
                <w:rFonts w:ascii="Arial" w:cs="Arial" w:eastAsia="Arial" w:hAnsi="Arial"/>
                <w:sz w:val="14"/>
                <w:szCs w:val="14"/>
                <w:color w:val="auto"/>
              </w:rPr>
              <w:t>$0.27318/share, expires 12/15/2027</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SendtoNews</w:t>
            </w:r>
          </w:p>
        </w:tc>
        <w:tc>
          <w:tcPr>
            <w:tcW w:w="15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Advertising</w:t>
            </w:r>
          </w:p>
        </w:tc>
        <w:tc>
          <w:tcPr>
            <w:tcW w:w="238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Warrant for Class B Non-Voting</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6/30/2017</w:t>
            </w: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191,500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246,461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66,000</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CCEEFF"/>
            </w:tcBorders>
            <w:gridSpan w:val="2"/>
            <w:shd w:val="clear" w:color="auto" w:fill="CCEEFF"/>
          </w:tcPr>
          <w:p>
            <w:pPr>
              <w:ind w:left="280"/>
              <w:spacing w:after="0" w:line="141" w:lineRule="exact"/>
              <w:rPr>
                <w:sz w:val="20"/>
                <w:szCs w:val="20"/>
                <w:color w:val="auto"/>
              </w:rPr>
            </w:pPr>
            <w:r>
              <w:rPr>
                <w:rFonts w:ascii="Arial" w:cs="Arial" w:eastAsia="Arial" w:hAnsi="Arial"/>
                <w:sz w:val="14"/>
                <w:szCs w:val="14"/>
                <w:color w:val="auto"/>
              </w:rPr>
              <w:t>Video, Inc.</w:t>
            </w: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380" w:type="dxa"/>
            <w:vAlign w:val="bottom"/>
            <w:tcBorders>
              <w:right w:val="single" w:sz="8" w:color="CCEEFF"/>
            </w:tcBorders>
            <w:gridSpan w:val="3"/>
            <w:shd w:val="clear" w:color="auto" w:fill="CCEEFF"/>
          </w:tcPr>
          <w:p>
            <w:pPr>
              <w:ind w:left="20"/>
              <w:spacing w:after="0" w:line="141" w:lineRule="exact"/>
              <w:rPr>
                <w:sz w:val="20"/>
                <w:szCs w:val="20"/>
                <w:color w:val="auto"/>
              </w:rPr>
            </w:pPr>
            <w:r>
              <w:rPr>
                <w:rFonts w:ascii="Arial" w:cs="Arial" w:eastAsia="Arial" w:hAnsi="Arial"/>
                <w:sz w:val="14"/>
                <w:szCs w:val="14"/>
                <w:color w:val="auto"/>
              </w:rPr>
              <w:t>Stock, exercise price $0.67/share,</w:t>
            </w:r>
          </w:p>
        </w:tc>
        <w:tc>
          <w:tcPr>
            <w:tcW w:w="9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4"/>
                <w:szCs w:val="14"/>
                <w:color w:val="auto"/>
                <w:w w:val="96"/>
              </w:rPr>
              <w:t>expires 6/30/2027</w:t>
            </w:r>
            <w:r>
              <w:rPr>
                <w:rFonts w:ascii="Arial" w:cs="Arial" w:eastAsia="Arial" w:hAnsi="Arial"/>
                <w:sz w:val="21"/>
                <w:szCs w:val="21"/>
                <w:color w:val="auto"/>
                <w:w w:val="96"/>
                <w:vertAlign w:val="superscript"/>
              </w:rPr>
              <w:t>(3),(7)</w:t>
            </w:r>
          </w:p>
        </w:tc>
        <w:tc>
          <w:tcPr>
            <w:tcW w:w="90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320" w:type="dxa"/>
            <w:vAlign w:val="bottom"/>
            <w:gridSpan w:val="2"/>
          </w:tcPr>
          <w:p>
            <w:pPr>
              <w:ind w:left="140"/>
              <w:spacing w:after="0"/>
              <w:rPr>
                <w:sz w:val="20"/>
                <w:szCs w:val="20"/>
                <w:color w:val="auto"/>
              </w:rPr>
            </w:pPr>
            <w:r>
              <w:rPr>
                <w:rFonts w:ascii="Arial" w:cs="Arial" w:eastAsia="Arial" w:hAnsi="Arial"/>
                <w:sz w:val="14"/>
                <w:szCs w:val="14"/>
                <w:color w:val="auto"/>
              </w:rPr>
              <w:t>ShareThis Inc.</w:t>
            </w:r>
          </w:p>
        </w:tc>
        <w:tc>
          <w:tcPr>
            <w:tcW w:w="1500" w:type="dxa"/>
            <w:vAlign w:val="bottom"/>
            <w:gridSpan w:val="3"/>
          </w:tcPr>
          <w:p>
            <w:pPr>
              <w:spacing w:after="0"/>
              <w:rPr>
                <w:sz w:val="20"/>
                <w:szCs w:val="20"/>
                <w:color w:val="auto"/>
              </w:rPr>
            </w:pPr>
            <w:r>
              <w:rPr>
                <w:rFonts w:ascii="Arial" w:cs="Arial" w:eastAsia="Arial" w:hAnsi="Arial"/>
                <w:sz w:val="14"/>
                <w:szCs w:val="14"/>
                <w:color w:val="auto"/>
              </w:rPr>
              <w:t>Data Processing &amp;</w:t>
            </w:r>
          </w:p>
        </w:tc>
        <w:tc>
          <w:tcPr>
            <w:tcW w:w="2380" w:type="dxa"/>
            <w:vAlign w:val="bottom"/>
            <w:gridSpan w:val="3"/>
          </w:tcPr>
          <w:p>
            <w:pPr>
              <w:ind w:left="20"/>
              <w:spacing w:after="0"/>
              <w:rPr>
                <w:sz w:val="20"/>
                <w:szCs w:val="20"/>
                <w:color w:val="auto"/>
              </w:rPr>
            </w:pPr>
            <w:r>
              <w:rPr>
                <w:rFonts w:ascii="Arial" w:cs="Arial" w:eastAsia="Arial" w:hAnsi="Arial"/>
                <w:sz w:val="14"/>
                <w:szCs w:val="14"/>
                <w:color w:val="auto"/>
              </w:rPr>
              <w:t>Warrant for Series D-3 Preferred</w:t>
            </w: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12/3/2018</w:t>
            </w:r>
          </w:p>
        </w:tc>
        <w:tc>
          <w:tcPr>
            <w:tcW w:w="20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371,030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1,548,052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1,580,000</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0.94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color w:val="auto"/>
              </w:rPr>
              <w:t>Outsourced Services</w:t>
            </w:r>
          </w:p>
        </w:tc>
        <w:tc>
          <w:tcPr>
            <w:tcW w:w="23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Stock, exercise price $2.4320/</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color w:val="auto"/>
                <w:w w:val="93"/>
              </w:rPr>
              <w:t>share, expires 12/3/2028</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zSpace, Inc.</w:t>
            </w:r>
          </w:p>
        </w:tc>
        <w:tc>
          <w:tcPr>
            <w:tcW w:w="15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Technology Hardware,</w:t>
            </w:r>
          </w:p>
        </w:tc>
        <w:tc>
          <w:tcPr>
            <w:tcW w:w="238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Warrant for Series E Preferred</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12/29/2017</w:t>
            </w: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99"/>
              </w:rPr>
              <w:t>1,896,966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707,568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671,526</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500" w:type="dxa"/>
            <w:vAlign w:val="bottom"/>
            <w:tcBorders>
              <w:right w:val="single" w:sz="8" w:color="CCEEFF"/>
            </w:tcBorders>
            <w:gridSpan w:val="3"/>
            <w:shd w:val="clear" w:color="auto" w:fill="CCEEFF"/>
          </w:tcPr>
          <w:p>
            <w:pPr>
              <w:spacing w:after="0" w:line="149" w:lineRule="exact"/>
              <w:rPr>
                <w:sz w:val="20"/>
                <w:szCs w:val="20"/>
                <w:color w:val="auto"/>
              </w:rPr>
            </w:pPr>
            <w:r>
              <w:rPr>
                <w:rFonts w:ascii="Arial" w:cs="Arial" w:eastAsia="Arial" w:hAnsi="Arial"/>
                <w:sz w:val="14"/>
                <w:szCs w:val="14"/>
                <w:color w:val="auto"/>
              </w:rPr>
              <w:t>Storage &amp; Peripherals</w:t>
            </w:r>
          </w:p>
        </w:tc>
        <w:tc>
          <w:tcPr>
            <w:tcW w:w="238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Stock, exercise price $0.90/share,</w:t>
            </w:r>
          </w:p>
        </w:tc>
        <w:tc>
          <w:tcPr>
            <w:tcW w:w="9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7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right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expires 12/29/2027</w:t>
            </w:r>
          </w:p>
        </w:tc>
        <w:tc>
          <w:tcPr>
            <w:tcW w:w="900" w:type="dxa"/>
            <w:vAlign w:val="bottom"/>
            <w:tcBorders>
              <w:bottom w:val="single" w:sz="8" w:color="CCEEFF"/>
              <w:right w:val="single" w:sz="8" w:color="CCEEFF"/>
            </w:tcBorders>
            <w:shd w:val="clear" w:color="auto" w:fill="CCEEFF"/>
          </w:tcPr>
          <w:p>
            <w:pPr>
              <w:spacing w:after="0"/>
              <w:rPr>
                <w:sz w:val="18"/>
                <w:szCs w:val="18"/>
                <w:color w:val="auto"/>
              </w:rPr>
            </w:pPr>
          </w:p>
        </w:tc>
        <w:tc>
          <w:tcPr>
            <w:tcW w:w="92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Total Warrants</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15,013,511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15,247,210</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9.10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6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82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4"/>
                <w:szCs w:val="14"/>
                <w:b w:val="1"/>
                <w:bCs w:val="1"/>
                <w:color w:val="auto"/>
                <w:w w:val="97"/>
              </w:rPr>
              <w:t>Total non-control/non-affiliate investments</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9"/>
              </w:rPr>
              <w:t>223,851,892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9"/>
              </w:rPr>
              <w:t>224,248,389</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8"/>
              </w:rPr>
              <w:t>133.99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760" w:type="dxa"/>
            <w:vAlign w:val="bottom"/>
            <w:tcBorders>
              <w:top w:val="single" w:sz="8" w:color="auto"/>
              <w:bottom w:val="single" w:sz="8" w:color="CCEEFF"/>
            </w:tcBorders>
            <w:shd w:val="clear" w:color="auto" w:fill="CCEEFF"/>
          </w:tcPr>
          <w:p>
            <w:pPr>
              <w:spacing w:after="0"/>
              <w:rPr>
                <w:sz w:val="7"/>
                <w:szCs w:val="7"/>
                <w:color w:val="auto"/>
              </w:rPr>
            </w:pPr>
          </w:p>
        </w:tc>
        <w:tc>
          <w:tcPr>
            <w:tcW w:w="560" w:type="dxa"/>
            <w:vAlign w:val="bottom"/>
            <w:tcBorders>
              <w:top w:val="single" w:sz="8" w:color="auto"/>
              <w:bottom w:val="single" w:sz="8" w:color="CCEEFF"/>
              <w:right w:val="single" w:sz="8" w:color="CCEEFF"/>
            </w:tcBorders>
            <w:shd w:val="clear" w:color="auto" w:fill="CCEEFF"/>
          </w:tcPr>
          <w:p>
            <w:pPr>
              <w:spacing w:after="0"/>
              <w:rPr>
                <w:sz w:val="7"/>
                <w:szCs w:val="7"/>
                <w:color w:val="auto"/>
              </w:rPr>
            </w:pPr>
          </w:p>
        </w:tc>
        <w:tc>
          <w:tcPr>
            <w:tcW w:w="1300" w:type="dxa"/>
            <w:vAlign w:val="bottom"/>
            <w:tcBorders>
              <w:top w:val="single" w:sz="8" w:color="auto"/>
              <w:bottom w:val="single" w:sz="8" w:color="CCEEFF"/>
            </w:tcBorders>
            <w:shd w:val="clear" w:color="auto" w:fill="CCEEFF"/>
          </w:tcPr>
          <w:p>
            <w:pPr>
              <w:spacing w:after="0"/>
              <w:rPr>
                <w:sz w:val="7"/>
                <w:szCs w:val="7"/>
                <w:color w:val="auto"/>
              </w:rPr>
            </w:pP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7"/>
                <w:szCs w:val="7"/>
                <w:color w:val="auto"/>
              </w:rPr>
            </w:pPr>
          </w:p>
        </w:tc>
        <w:tc>
          <w:tcPr>
            <w:tcW w:w="220" w:type="dxa"/>
            <w:vAlign w:val="bottom"/>
            <w:tcBorders>
              <w:top w:val="single" w:sz="8" w:color="CCEEFF"/>
              <w:bottom w:val="single" w:sz="8" w:color="CCEEFF"/>
            </w:tcBorders>
            <w:shd w:val="clear" w:color="auto" w:fill="CCEEFF"/>
          </w:tcPr>
          <w:p>
            <w:pPr>
              <w:spacing w:after="0"/>
              <w:rPr>
                <w:sz w:val="7"/>
                <w:szCs w:val="7"/>
                <w:color w:val="auto"/>
              </w:rPr>
            </w:pPr>
          </w:p>
        </w:tc>
        <w:tc>
          <w:tcPr>
            <w:tcW w:w="1260" w:type="dxa"/>
            <w:vAlign w:val="bottom"/>
            <w:tcBorders>
              <w:top w:val="single" w:sz="8" w:color="CCEEFF"/>
              <w:bottom w:val="single" w:sz="8" w:color="CCEEFF"/>
            </w:tcBorders>
            <w:shd w:val="clear" w:color="auto" w:fill="CCEEFF"/>
          </w:tcPr>
          <w:p>
            <w:pPr>
              <w:spacing w:after="0"/>
              <w:rPr>
                <w:sz w:val="7"/>
                <w:szCs w:val="7"/>
                <w:color w:val="auto"/>
              </w:rPr>
            </w:pPr>
          </w:p>
        </w:tc>
        <w:tc>
          <w:tcPr>
            <w:tcW w:w="900" w:type="dxa"/>
            <w:vAlign w:val="bottom"/>
            <w:tcBorders>
              <w:top w:val="single" w:sz="8" w:color="CCEEFF"/>
              <w:bottom w:val="single" w:sz="8" w:color="CCEEFF"/>
              <w:right w:val="single" w:sz="8" w:color="CCEEFF"/>
            </w:tcBorders>
            <w:shd w:val="clear" w:color="auto" w:fill="CCEEFF"/>
          </w:tcPr>
          <w:p>
            <w:pPr>
              <w:spacing w:after="0"/>
              <w:rPr>
                <w:sz w:val="7"/>
                <w:szCs w:val="7"/>
                <w:color w:val="auto"/>
              </w:rPr>
            </w:pPr>
          </w:p>
        </w:tc>
        <w:tc>
          <w:tcPr>
            <w:tcW w:w="920" w:type="dxa"/>
            <w:vAlign w:val="bottom"/>
            <w:tcBorders>
              <w:top w:val="single" w:sz="8" w:color="CCEEFF"/>
              <w:bottom w:val="single" w:sz="8" w:color="CCEEFF"/>
              <w:right w:val="single" w:sz="8" w:color="CCEEFF"/>
            </w:tcBorders>
            <w:shd w:val="clear" w:color="auto" w:fill="CCEEFF"/>
          </w:tcPr>
          <w:p>
            <w:pPr>
              <w:spacing w:after="0"/>
              <w:rPr>
                <w:sz w:val="7"/>
                <w:szCs w:val="7"/>
                <w:color w:val="auto"/>
              </w:rPr>
            </w:pPr>
          </w:p>
        </w:tc>
        <w:tc>
          <w:tcPr>
            <w:tcW w:w="200" w:type="dxa"/>
            <w:vAlign w:val="bottom"/>
            <w:tcBorders>
              <w:top w:val="single" w:sz="8" w:color="CCEEFF"/>
              <w:bottom w:val="single" w:sz="8" w:color="CCEEFF"/>
            </w:tcBorders>
            <w:shd w:val="clear" w:color="auto" w:fill="CCEEFF"/>
          </w:tcPr>
          <w:p>
            <w:pPr>
              <w:spacing w:after="0"/>
              <w:rPr>
                <w:sz w:val="7"/>
                <w:szCs w:val="7"/>
                <w:color w:val="auto"/>
              </w:rPr>
            </w:pPr>
          </w:p>
        </w:tc>
        <w:tc>
          <w:tcPr>
            <w:tcW w:w="800" w:type="dxa"/>
            <w:vAlign w:val="bottom"/>
            <w:tcBorders>
              <w:top w:val="single" w:sz="8" w:color="CCEEFF"/>
              <w:bottom w:val="single" w:sz="8" w:color="CCEEFF"/>
              <w:right w:val="single" w:sz="8" w:color="CCEEFF"/>
            </w:tcBorders>
            <w:shd w:val="clear" w:color="auto" w:fill="CCEEFF"/>
          </w:tcPr>
          <w:p>
            <w:pPr>
              <w:spacing w:after="0"/>
              <w:rPr>
                <w:sz w:val="7"/>
                <w:szCs w:val="7"/>
                <w:color w:val="auto"/>
              </w:rPr>
            </w:pP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720" w:type="dxa"/>
            <w:vAlign w:val="bottom"/>
            <w:tcBorders>
              <w:top w:val="single" w:sz="8" w:color="CCEEFF"/>
              <w:bottom w:val="single" w:sz="8" w:color="auto"/>
            </w:tcBorders>
            <w:shd w:val="clear" w:color="auto" w:fill="CCEEFF"/>
          </w:tcPr>
          <w:p>
            <w:pPr>
              <w:spacing w:after="0"/>
              <w:rPr>
                <w:sz w:val="7"/>
                <w:szCs w:val="7"/>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7"/>
                <w:szCs w:val="7"/>
                <w:color w:val="auto"/>
              </w:rPr>
            </w:pP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720" w:type="dxa"/>
            <w:vAlign w:val="bottom"/>
            <w:tcBorders>
              <w:top w:val="single" w:sz="8" w:color="CCEEFF"/>
              <w:bottom w:val="single" w:sz="8" w:color="auto"/>
            </w:tcBorders>
            <w:shd w:val="clear" w:color="auto" w:fill="CCEEFF"/>
          </w:tcPr>
          <w:p>
            <w:pPr>
              <w:spacing w:after="0"/>
              <w:rPr>
                <w:sz w:val="7"/>
                <w:szCs w:val="7"/>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7"/>
                <w:szCs w:val="7"/>
                <w:color w:val="auto"/>
              </w:rPr>
            </w:pPr>
          </w:p>
        </w:tc>
        <w:tc>
          <w:tcPr>
            <w:tcW w:w="400" w:type="dxa"/>
            <w:vAlign w:val="bottom"/>
            <w:tcBorders>
              <w:top w:val="single" w:sz="8" w:color="CCEEFF"/>
              <w:bottom w:val="single" w:sz="8" w:color="auto"/>
            </w:tcBorders>
            <w:shd w:val="clear" w:color="auto" w:fill="CCEEFF"/>
          </w:tcPr>
          <w:p>
            <w:pPr>
              <w:spacing w:after="0"/>
              <w:rPr>
                <w:sz w:val="7"/>
                <w:szCs w:val="7"/>
                <w:color w:val="auto"/>
              </w:rPr>
            </w:pP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3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U.S. Treasury</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U.S. Treasury Bill, 2.254%, due</w:t>
            </w:r>
          </w:p>
        </w:tc>
        <w:tc>
          <w:tcPr>
            <w:tcW w:w="920" w:type="dxa"/>
            <w:vAlign w:val="bottom"/>
          </w:tcPr>
          <w:p>
            <w:pPr>
              <w:spacing w:after="0"/>
              <w:rPr>
                <w:sz w:val="13"/>
                <w:szCs w:val="13"/>
                <w:color w:val="auto"/>
              </w:rPr>
            </w:pP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8"/>
              </w:rPr>
              <w:t>80,000,000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9"/>
              </w:rPr>
              <w:t>79,959,928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99"/>
              </w:rPr>
              <w:t>79,959,928</w:t>
            </w:r>
          </w:p>
        </w:tc>
        <w:tc>
          <w:tcPr>
            <w:tcW w:w="4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47.77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760" w:type="dxa"/>
            <w:vAlign w:val="bottom"/>
            <w:tcBorders>
              <w:bottom w:val="single" w:sz="8" w:color="CCEEFF"/>
            </w:tcBorders>
          </w:tcPr>
          <w:p>
            <w:pPr>
              <w:spacing w:after="0"/>
              <w:rPr>
                <w:sz w:val="23"/>
                <w:szCs w:val="23"/>
                <w:color w:val="auto"/>
              </w:rPr>
            </w:pPr>
          </w:p>
        </w:tc>
        <w:tc>
          <w:tcPr>
            <w:tcW w:w="56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1/3/2019</w:t>
            </w:r>
            <w:r>
              <w:rPr>
                <w:rFonts w:ascii="Arial" w:cs="Arial" w:eastAsia="Arial" w:hAnsi="Arial"/>
                <w:sz w:val="21"/>
                <w:szCs w:val="21"/>
                <w:color w:val="auto"/>
                <w:vertAlign w:val="superscript"/>
              </w:rPr>
              <w:t>(12)</w:t>
            </w:r>
          </w:p>
        </w:tc>
        <w:tc>
          <w:tcPr>
            <w:tcW w:w="9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1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Investments</w:t>
            </w: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9"/>
              </w:rPr>
              <w:t>303,811,820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9"/>
              </w:rPr>
              <w:t>304,208,317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3"/>
              </w:rPr>
              <w:t>181.76%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60" w:type="dxa"/>
            <w:vAlign w:val="bottom"/>
            <w:tcBorders>
              <w:bottom w:val="single" w:sz="8" w:color="CCEEFF"/>
            </w:tcBorders>
            <w:shd w:val="clear" w:color="auto" w:fill="CCEEFF"/>
          </w:tcPr>
          <w:p>
            <w:pPr>
              <w:spacing w:after="0"/>
              <w:rPr>
                <w:sz w:val="5"/>
                <w:szCs w:val="5"/>
                <w:color w:val="auto"/>
              </w:rPr>
            </w:pPr>
          </w:p>
        </w:tc>
        <w:tc>
          <w:tcPr>
            <w:tcW w:w="560" w:type="dxa"/>
            <w:vAlign w:val="bottom"/>
            <w:tcBorders>
              <w:bottom w:val="single" w:sz="8" w:color="CCEEFF"/>
              <w:right w:val="single" w:sz="8" w:color="CCEEFF"/>
            </w:tcBorders>
            <w:shd w:val="clear" w:color="auto" w:fill="CCEEFF"/>
          </w:tcPr>
          <w:p>
            <w:pPr>
              <w:spacing w:after="0"/>
              <w:rPr>
                <w:sz w:val="5"/>
                <w:szCs w:val="5"/>
                <w:color w:val="auto"/>
              </w:rPr>
            </w:pPr>
          </w:p>
        </w:tc>
        <w:tc>
          <w:tcPr>
            <w:tcW w:w="13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right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26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right w:val="single" w:sz="8" w:color="CCEEFF"/>
            </w:tcBorders>
            <w:shd w:val="clear" w:color="auto" w:fill="CCEEFF"/>
          </w:tcPr>
          <w:p>
            <w:pPr>
              <w:spacing w:after="0"/>
              <w:rPr>
                <w:sz w:val="5"/>
                <w:szCs w:val="5"/>
                <w:color w:val="auto"/>
              </w:rPr>
            </w:pPr>
          </w:p>
        </w:tc>
        <w:tc>
          <w:tcPr>
            <w:tcW w:w="920" w:type="dxa"/>
            <w:vAlign w:val="bottom"/>
            <w:tcBorders>
              <w:bottom w:val="single" w:sz="8" w:color="CCEEFF"/>
              <w:right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72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72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-393700</wp:posOffset>
            </wp:positionV>
            <wp:extent cx="61804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-864870</wp:posOffset>
            </wp:positionV>
            <wp:extent cx="61804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-5116830</wp:posOffset>
            </wp:positionV>
            <wp:extent cx="342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-5116830</wp:posOffset>
            </wp:positionV>
            <wp:extent cx="342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-5116830</wp:posOffset>
            </wp:positionV>
            <wp:extent cx="342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-5116830</wp:posOffset>
            </wp:positionV>
            <wp:extent cx="342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-5116830</wp:posOffset>
            </wp:positionV>
            <wp:extent cx="342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-5116830</wp:posOffset>
            </wp:positionV>
            <wp:extent cx="342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-5116830</wp:posOffset>
            </wp:positionV>
            <wp:extent cx="342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14" w:lineRule="exact"/>
        <w:rPr>
          <w:sz w:val="20"/>
          <w:szCs w:val="20"/>
          <w:color w:val="auto"/>
        </w:rPr>
      </w:pPr>
    </w:p>
    <w:p>
      <w:pPr>
        <w:jc w:val="both"/>
        <w:ind w:left="1620" w:right="800" w:hanging="358"/>
        <w:spacing w:after="0" w:line="257" w:lineRule="auto"/>
        <w:tabs>
          <w:tab w:leader="none" w:pos="1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2018, the 3-Month LIBOR was 2.80% and the U.S. Prime Rate was 5.50%.</w:t>
      </w:r>
    </w:p>
    <w:p>
      <w:pPr>
        <w:spacing w:after="0" w:line="39" w:lineRule="exact"/>
        <w:rPr>
          <w:rFonts w:ascii="Arial" w:cs="Arial" w:eastAsia="Arial" w:hAnsi="Arial"/>
          <w:sz w:val="18"/>
          <w:szCs w:val="18"/>
          <w:color w:val="auto"/>
        </w:rPr>
      </w:pPr>
    </w:p>
    <w:p>
      <w:pPr>
        <w:jc w:val="both"/>
        <w:ind w:left="1620" w:right="800" w:hanging="358"/>
        <w:spacing w:after="0" w:line="263" w:lineRule="auto"/>
        <w:tabs>
          <w:tab w:leader="none" w:pos="1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investments in portfolio companies, which as of December 31, 2018 represented 133.99% of the Company’s net assets, are restricted as to resale and were valued at fair value as determined in good faith by the Company’s Board of Directors.</w:t>
      </w:r>
    </w:p>
    <w:p>
      <w:pPr>
        <w:spacing w:after="0" w:line="6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See notes to financial statements.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60"/>
          </w:cols>
          <w:pgMar w:left="320" w:top="131" w:right="1319" w:bottom="1440" w:gutter="0" w:footer="0" w:header="0"/>
        </w:sectPr>
      </w:pPr>
    </w:p>
    <w:bookmarkStart w:id="89" w:name="page90"/>
    <w:bookmarkEnd w:id="89"/>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December 31, 2018</w:t>
      </w:r>
    </w:p>
    <w:p>
      <w:pPr>
        <w:spacing w:after="0" w:line="170" w:lineRule="exact"/>
        <w:rPr>
          <w:sz w:val="20"/>
          <w:szCs w:val="20"/>
          <w:color w:val="auto"/>
        </w:rPr>
      </w:pPr>
    </w:p>
    <w:p>
      <w:pPr>
        <w:jc w:val="both"/>
        <w:ind w:left="1620" w:right="679" w:hanging="358"/>
        <w:spacing w:after="0" w:line="273" w:lineRule="auto"/>
        <w:tabs>
          <w:tab w:leader="none" w:pos="1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Investment is not a qualifying investment as defined under Section 55(a) of the Investment Company Act of 1940, as amended. Non-qualifying assets represent 0.04% of total investments at fair value as of December 31, 2018.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spacing w:after="0" w:line="56" w:lineRule="exact"/>
        <w:rPr>
          <w:rFonts w:ascii="Arial" w:cs="Arial" w:eastAsia="Arial" w:hAnsi="Arial"/>
          <w:sz w:val="17"/>
          <w:szCs w:val="17"/>
          <w:color w:val="auto"/>
        </w:rPr>
      </w:pPr>
    </w:p>
    <w:p>
      <w:pPr>
        <w:ind w:left="1620" w:right="679" w:hanging="358"/>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a PIK security. If the interest rate goes above the cap of 12.00%, PIK interest will be accrued on the excess amount and paid at maturity.</w:t>
      </w:r>
    </w:p>
    <w:p>
      <w:pPr>
        <w:spacing w:after="0" w:line="48" w:lineRule="exact"/>
        <w:rPr>
          <w:rFonts w:ascii="Arial" w:cs="Arial" w:eastAsia="Arial" w:hAnsi="Arial"/>
          <w:sz w:val="18"/>
          <w:szCs w:val="18"/>
          <w:color w:val="auto"/>
        </w:rPr>
      </w:pPr>
    </w:p>
    <w:p>
      <w:pPr>
        <w:ind w:left="1620" w:right="679" w:hanging="358"/>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investments are valued using unobservable inputs, except the U.S. Treasury Bill which is valued using observable inputs.</w:t>
      </w:r>
    </w:p>
    <w:p>
      <w:pPr>
        <w:spacing w:after="0" w:line="48" w:lineRule="exact"/>
        <w:rPr>
          <w:rFonts w:ascii="Arial" w:cs="Arial" w:eastAsia="Arial" w:hAnsi="Arial"/>
          <w:sz w:val="18"/>
          <w:szCs w:val="18"/>
          <w:color w:val="auto"/>
        </w:rPr>
      </w:pPr>
    </w:p>
    <w:p>
      <w:pPr>
        <w:ind w:left="1620" w:hanging="358"/>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investments are domiciled in the United States, unless otherwise noted.</w:t>
      </w:r>
    </w:p>
    <w:p>
      <w:pPr>
        <w:spacing w:after="0" w:line="103" w:lineRule="exact"/>
        <w:rPr>
          <w:rFonts w:ascii="Arial" w:cs="Arial" w:eastAsia="Arial" w:hAnsi="Arial"/>
          <w:sz w:val="18"/>
          <w:szCs w:val="18"/>
          <w:color w:val="auto"/>
        </w:rPr>
      </w:pPr>
    </w:p>
    <w:p>
      <w:pPr>
        <w:ind w:left="1620" w:hanging="358"/>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Investment is domiciled in Canada.</w:t>
      </w:r>
    </w:p>
    <w:p>
      <w:pPr>
        <w:spacing w:after="0" w:line="103" w:lineRule="exact"/>
        <w:rPr>
          <w:rFonts w:ascii="Arial" w:cs="Arial" w:eastAsia="Arial" w:hAnsi="Arial"/>
          <w:sz w:val="18"/>
          <w:szCs w:val="18"/>
          <w:color w:val="auto"/>
        </w:rPr>
      </w:pPr>
    </w:p>
    <w:p>
      <w:pPr>
        <w:ind w:left="1620" w:hanging="358"/>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Investments are non-income producing.</w:t>
      </w:r>
    </w:p>
    <w:p>
      <w:pPr>
        <w:spacing w:after="0" w:line="90" w:lineRule="exact"/>
        <w:rPr>
          <w:rFonts w:ascii="Arial" w:cs="Arial" w:eastAsia="Arial" w:hAnsi="Arial"/>
          <w:sz w:val="18"/>
          <w:szCs w:val="18"/>
          <w:color w:val="auto"/>
        </w:rPr>
      </w:pPr>
    </w:p>
    <w:p>
      <w:pPr>
        <w:jc w:val="both"/>
        <w:ind w:left="1620" w:right="679" w:hanging="358"/>
        <w:spacing w:after="0" w:line="291" w:lineRule="auto"/>
        <w:tabs>
          <w:tab w:leader="none" w:pos="1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As of June 29, 2018, the Mojix, Inc. (“Mojix”) loan and security agreement was amended to: (a) increase the LIBOR spread from 10.0% to 10.5%; (b) require existing shareholders to invest additional amounts of equity in Mojix;; and, (c) make certain adjustments to the length and timing of interest-only periods based on the accomplishment of performance milestones. In exchange, the Company has agreed to provide forbearance on certain covenant defaults and make available, upon certain additional equity investment by the shareholders, the remaining $2,000,000 under the original loan commitment. As of December 31, 2018, the Company has funded $1,000,000 in a third and fourth tranche in the amount of $500,000 each.</w:t>
      </w:r>
    </w:p>
    <w:p>
      <w:pPr>
        <w:spacing w:after="0" w:line="44" w:lineRule="exact"/>
        <w:rPr>
          <w:rFonts w:ascii="Arial" w:cs="Arial" w:eastAsia="Arial" w:hAnsi="Arial"/>
          <w:sz w:val="16"/>
          <w:szCs w:val="16"/>
          <w:color w:val="auto"/>
        </w:rPr>
      </w:pPr>
    </w:p>
    <w:p>
      <w:pPr>
        <w:jc w:val="both"/>
        <w:ind w:left="1620" w:right="679" w:hanging="358"/>
        <w:spacing w:after="0" w:line="259"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connection with the Amended and Restated Certificate of Incorporation dated September 4, 2018, each one warrant share of Series E Preferred Stock converted into one one-hundredth of a warrant share of Common Stock. The Company previously held 16,442,732 in warrants for Series E Preferred Stock which converted into 164,427 warrants for common stock.</w:t>
      </w:r>
    </w:p>
    <w:p>
      <w:pPr>
        <w:spacing w:after="0" w:line="65" w:lineRule="exact"/>
        <w:rPr>
          <w:rFonts w:ascii="Arial" w:cs="Arial" w:eastAsia="Arial" w:hAnsi="Arial"/>
          <w:sz w:val="18"/>
          <w:szCs w:val="18"/>
          <w:color w:val="auto"/>
        </w:rPr>
      </w:pPr>
    </w:p>
    <w:p>
      <w:pPr>
        <w:ind w:left="1620" w:hanging="358"/>
        <w:spacing w:after="0"/>
        <w:tabs>
          <w:tab w:leader="none" w:pos="1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Investments are held at Fair Value net of Unfunded Commitments. See Note 3 for additional detail.</w:t>
      </w:r>
    </w:p>
    <w:p>
      <w:pPr>
        <w:spacing w:after="0" w:line="115" w:lineRule="exact"/>
        <w:rPr>
          <w:rFonts w:ascii="Arial" w:cs="Arial" w:eastAsia="Arial" w:hAnsi="Arial"/>
          <w:sz w:val="17"/>
          <w:szCs w:val="17"/>
          <w:color w:val="auto"/>
        </w:rPr>
      </w:pPr>
    </w:p>
    <w:p>
      <w:pPr>
        <w:jc w:val="both"/>
        <w:ind w:left="1620" w:right="679" w:hanging="358"/>
        <w:spacing w:after="0" w:line="259"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treasury bill with $80,000,000 of par value was purchased pursuant to a 4.90% reverse repurchase agreement with Goldman Sachs, dated December 26, 2018, due January 2, 2019, with a repurchase price of $80,000,000 and collateralized by a 2.254% U.S. Treasury Bill due January 3, 2019 with a par value of $80,000,000 and fair value of $79,959,928.</w:t>
      </w:r>
    </w:p>
    <w:p>
      <w:pPr>
        <w:spacing w:after="0" w:line="65" w:lineRule="exact"/>
        <w:rPr>
          <w:rFonts w:ascii="Arial" w:cs="Arial" w:eastAsia="Arial" w:hAnsi="Arial"/>
          <w:sz w:val="18"/>
          <w:szCs w:val="18"/>
          <w:color w:val="auto"/>
        </w:rPr>
      </w:pPr>
    </w:p>
    <w:p>
      <w:pPr>
        <w:ind w:left="1620" w:right="679" w:hanging="358"/>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Disclosures of end-of-term-payments (“ETP”) are one-time payments stated as a percentage of original principal amount.</w:t>
      </w:r>
    </w:p>
    <w:p>
      <w:pPr>
        <w:spacing w:after="0" w:line="48" w:lineRule="exact"/>
        <w:rPr>
          <w:rFonts w:ascii="Arial" w:cs="Arial" w:eastAsia="Arial" w:hAnsi="Arial"/>
          <w:sz w:val="18"/>
          <w:szCs w:val="18"/>
          <w:color w:val="auto"/>
        </w:rPr>
      </w:pPr>
    </w:p>
    <w:p>
      <w:pPr>
        <w:jc w:val="both"/>
        <w:ind w:left="1620" w:right="679" w:hanging="358"/>
        <w:spacing w:after="0" w:line="291" w:lineRule="auto"/>
        <w:tabs>
          <w:tab w:leader="none" w:pos="1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 November 27, 2018, the Company entered into a Loan &amp; Security Agreement whereby, upon attainment of certain financial milestones, Ouster may borrow up to $10,000,000 under the facility. As of December 31, 2018, Ouster had not met the conditions required to borrow any amount under the loan facility. Upon borrowing under the loan facility the Company will receive a Warrant to purchase up to $400,000, or 353,348 shares of Series A preferred stock of Ouster at an exercise price of $11.3158 per share, with the number of shares calculated based on the amount of borrowings under the facility. In the event Ouster fails to meet required financial milestone for borrowing by March 31, 2019, the facility will terminate.</w:t>
      </w:r>
    </w:p>
    <w:p>
      <w:pPr>
        <w:spacing w:after="0" w:line="288"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2018:</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 2018</w:t>
            </w:r>
          </w:p>
        </w:tc>
      </w:tr>
      <w:tr>
        <w:trPr>
          <w:trHeight w:val="26"/>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r>
      <w:tr>
        <w:trPr>
          <w:trHeight w:val="173"/>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Investments at</w:t>
            </w:r>
          </w:p>
        </w:tc>
        <w:tc>
          <w:tcPr>
            <w:tcW w:w="1040" w:type="dxa"/>
            <w:vAlign w:val="bottom"/>
            <w:gridSpan w:val="4"/>
          </w:tcPr>
          <w:p>
            <w:pPr>
              <w:jc w:val="center"/>
              <w:ind w:left="112"/>
              <w:spacing w:after="0"/>
              <w:rPr>
                <w:sz w:val="20"/>
                <w:szCs w:val="20"/>
                <w:color w:val="auto"/>
              </w:rPr>
            </w:pPr>
            <w:r>
              <w:rPr>
                <w:rFonts w:ascii="Arial" w:cs="Arial" w:eastAsia="Arial" w:hAnsi="Arial"/>
                <w:sz w:val="14"/>
                <w:szCs w:val="14"/>
                <w:b w:val="1"/>
                <w:bCs w:val="1"/>
                <w:color w:val="auto"/>
                <w:w w:val="90"/>
              </w:rPr>
              <w:t>Percentage of</w:t>
            </w:r>
          </w:p>
        </w:tc>
      </w:tr>
      <w:tr>
        <w:trPr>
          <w:trHeight w:val="186"/>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Geographic Region</w:t>
            </w:r>
          </w:p>
        </w:tc>
        <w:tc>
          <w:tcPr>
            <w:tcW w:w="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6"/>
                <w:szCs w:val="16"/>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Net Assets</w:t>
            </w:r>
          </w:p>
        </w:tc>
      </w:tr>
      <w:tr>
        <w:trPr>
          <w:trHeight w:val="26"/>
        </w:trPr>
        <w:tc>
          <w:tcPr>
            <w:tcW w:w="5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$154,566,480</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92.36%</w:t>
            </w:r>
          </w:p>
        </w:tc>
      </w:tr>
      <w:tr>
        <w:trPr>
          <w:trHeight w:val="257"/>
        </w:trPr>
        <w:tc>
          <w:tcPr>
            <w:tcW w:w="5420" w:type="dxa"/>
            <w:vAlign w:val="bottom"/>
            <w:gridSpan w:val="2"/>
          </w:tcPr>
          <w:p>
            <w:pPr>
              <w:spacing w:after="0"/>
              <w:rPr>
                <w:sz w:val="20"/>
                <w:szCs w:val="20"/>
                <w:color w:val="auto"/>
              </w:rPr>
            </w:pPr>
            <w:r>
              <w:rPr>
                <w:rFonts w:ascii="Arial" w:cs="Arial" w:eastAsia="Arial" w:hAnsi="Arial"/>
                <w:sz w:val="18"/>
                <w:szCs w:val="18"/>
                <w:color w:val="auto"/>
              </w:rPr>
              <w:t>Southeastern United States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24,487,720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14.63</w:t>
            </w:r>
          </w:p>
        </w:tc>
        <w:tc>
          <w:tcPr>
            <w:tcW w:w="160" w:type="dxa"/>
            <w:vAlign w:val="bottom"/>
          </w:tcPr>
          <w:p>
            <w:pPr>
              <w:spacing w:after="0"/>
              <w:rPr>
                <w:sz w:val="22"/>
                <w:szCs w:val="22"/>
                <w:color w:val="auto"/>
              </w:rPr>
            </w:pPr>
          </w:p>
        </w:tc>
      </w:tr>
      <w:tr>
        <w:trPr>
          <w:trHeight w:val="25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Northeastern United States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22,358,524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60" w:type="dxa"/>
            <w:vAlign w:val="bottom"/>
            <w:shd w:val="clear" w:color="auto" w:fill="CCEEFF"/>
          </w:tcPr>
          <w:p>
            <w:pPr>
              <w:spacing w:after="0"/>
              <w:rPr>
                <w:sz w:val="22"/>
                <w:szCs w:val="22"/>
                <w:color w:val="auto"/>
              </w:rPr>
            </w:pPr>
          </w:p>
        </w:tc>
      </w:tr>
      <w:tr>
        <w:trPr>
          <w:trHeight w:val="257"/>
        </w:trPr>
        <w:tc>
          <w:tcPr>
            <w:tcW w:w="5420" w:type="dxa"/>
            <w:vAlign w:val="bottom"/>
            <w:gridSpan w:val="2"/>
          </w:tcPr>
          <w:p>
            <w:pPr>
              <w:spacing w:after="0"/>
              <w:rPr>
                <w:sz w:val="20"/>
                <w:szCs w:val="20"/>
                <w:color w:val="auto"/>
              </w:rPr>
            </w:pPr>
            <w:r>
              <w:rPr>
                <w:rFonts w:ascii="Arial" w:cs="Arial" w:eastAsia="Arial" w:hAnsi="Arial"/>
                <w:sz w:val="18"/>
                <w:szCs w:val="18"/>
                <w:color w:val="auto"/>
              </w:rPr>
              <w:t>South Central United States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15,939,397</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22"/>
                <w:szCs w:val="22"/>
                <w:color w:val="auto"/>
              </w:rPr>
            </w:pPr>
          </w:p>
        </w:tc>
      </w:tr>
      <w:tr>
        <w:trPr>
          <w:trHeight w:val="257"/>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Midwestern United States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6,830,268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22"/>
                <w:szCs w:val="22"/>
                <w:color w:val="auto"/>
              </w:rPr>
            </w:pPr>
          </w:p>
        </w:tc>
      </w:tr>
      <w:tr>
        <w:trPr>
          <w:trHeight w:val="263"/>
        </w:trPr>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66,000</w:t>
            </w:r>
          </w:p>
        </w:tc>
        <w:tc>
          <w:tcPr>
            <w:tcW w:w="380" w:type="dxa"/>
            <w:vAlign w:val="bottom"/>
            <w:tcBorders>
              <w:bottom w:val="single" w:sz="8" w:color="CCEEFF"/>
            </w:tcBorders>
            <w:gridSpan w:val="2"/>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Borders>
              <w:bottom w:val="single" w:sz="8" w:color="CCEEFF"/>
            </w:tcBorders>
          </w:tcPr>
          <w:p>
            <w:pPr>
              <w:spacing w:after="0"/>
              <w:rPr>
                <w:sz w:val="22"/>
                <w:szCs w:val="22"/>
                <w:color w:val="auto"/>
              </w:rPr>
            </w:pPr>
          </w:p>
        </w:tc>
      </w:tr>
      <w:tr>
        <w:trPr>
          <w:trHeight w:val="257"/>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224,248,389</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133.</w:t>
            </w:r>
            <w:r>
              <w:rPr>
                <w:rFonts w:ascii="Arial" w:cs="Arial" w:eastAsia="Arial" w:hAnsi="Arial"/>
                <w:sz w:val="18"/>
                <w:szCs w:val="18"/>
                <w:u w:val="single" w:color="auto"/>
                <w:color w:val="auto"/>
              </w:rPr>
              <w:t>99</w:t>
            </w:r>
            <w:r>
              <w:rPr>
                <w:rFonts w:ascii="Arial" w:cs="Arial" w:eastAsia="Arial" w:hAnsi="Arial"/>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441"/>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 2018</w:t>
            </w:r>
          </w:p>
        </w:tc>
      </w:tr>
      <w:tr>
        <w:trPr>
          <w:trHeight w:val="26"/>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r>
      <w:tr>
        <w:trPr>
          <w:trHeight w:val="173"/>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Investments at</w:t>
            </w:r>
          </w:p>
        </w:tc>
        <w:tc>
          <w:tcPr>
            <w:tcW w:w="1040" w:type="dxa"/>
            <w:vAlign w:val="bottom"/>
            <w:gridSpan w:val="4"/>
          </w:tcPr>
          <w:p>
            <w:pPr>
              <w:jc w:val="center"/>
              <w:ind w:left="112"/>
              <w:spacing w:after="0"/>
              <w:rPr>
                <w:sz w:val="20"/>
                <w:szCs w:val="20"/>
                <w:color w:val="auto"/>
              </w:rPr>
            </w:pPr>
            <w:r>
              <w:rPr>
                <w:rFonts w:ascii="Arial" w:cs="Arial" w:eastAsia="Arial" w:hAnsi="Arial"/>
                <w:sz w:val="14"/>
                <w:szCs w:val="14"/>
                <w:b w:val="1"/>
                <w:bCs w:val="1"/>
                <w:color w:val="auto"/>
                <w:w w:val="90"/>
              </w:rPr>
              <w:t>Percentage of</w:t>
            </w:r>
          </w:p>
        </w:tc>
      </w:tr>
      <w:tr>
        <w:trPr>
          <w:trHeight w:val="186"/>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Industry</w:t>
            </w:r>
          </w:p>
        </w:tc>
        <w:tc>
          <w:tcPr>
            <w:tcW w:w="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6"/>
                <w:szCs w:val="16"/>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Net Assets</w:t>
            </w:r>
          </w:p>
        </w:tc>
      </w:tr>
      <w:tr>
        <w:trPr>
          <w:trHeight w:val="26"/>
        </w:trPr>
        <w:tc>
          <w:tcPr>
            <w:tcW w:w="5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r>
      <w:tr>
        <w:trPr>
          <w:trHeight w:val="25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$ 97,077,931</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58.01%</w:t>
            </w:r>
          </w:p>
        </w:tc>
      </w:tr>
      <w:tr>
        <w:trPr>
          <w:trHeight w:val="257"/>
        </w:trPr>
        <w:tc>
          <w:tcPr>
            <w:tcW w:w="5420" w:type="dxa"/>
            <w:vAlign w:val="bottom"/>
            <w:gridSpan w:val="2"/>
          </w:tcPr>
          <w:p>
            <w:pPr>
              <w:spacing w:after="0"/>
              <w:rPr>
                <w:sz w:val="20"/>
                <w:szCs w:val="20"/>
                <w:color w:val="auto"/>
              </w:rPr>
            </w:pPr>
            <w:r>
              <w:rPr>
                <w:rFonts w:ascii="Arial" w:cs="Arial" w:eastAsia="Arial" w:hAnsi="Arial"/>
                <w:sz w:val="18"/>
                <w:szCs w:val="18"/>
                <w:color w:val="auto"/>
              </w:rPr>
              <w:t>Healthcare Technology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45,863,112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27.41</w:t>
            </w:r>
          </w:p>
        </w:tc>
        <w:tc>
          <w:tcPr>
            <w:tcW w:w="160" w:type="dxa"/>
            <w:vAlign w:val="bottom"/>
          </w:tcPr>
          <w:p>
            <w:pPr>
              <w:spacing w:after="0"/>
              <w:rPr>
                <w:sz w:val="22"/>
                <w:szCs w:val="22"/>
                <w:color w:val="auto"/>
              </w:rPr>
            </w:pPr>
          </w:p>
        </w:tc>
      </w:tr>
      <w:tr>
        <w:trPr>
          <w:trHeight w:val="25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 &amp; Outsourced Services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34,045,151</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60" w:type="dxa"/>
            <w:vAlign w:val="bottom"/>
            <w:shd w:val="clear" w:color="auto" w:fill="CCEEFF"/>
          </w:tcPr>
          <w:p>
            <w:pPr>
              <w:spacing w:after="0"/>
              <w:rPr>
                <w:sz w:val="22"/>
                <w:szCs w:val="22"/>
                <w:color w:val="auto"/>
              </w:rPr>
            </w:pPr>
          </w:p>
        </w:tc>
      </w:tr>
      <w:tr>
        <w:trPr>
          <w:trHeight w:val="257"/>
        </w:trPr>
        <w:tc>
          <w:tcPr>
            <w:tcW w:w="5420" w:type="dxa"/>
            <w:vAlign w:val="bottom"/>
            <w:gridSpan w:val="2"/>
          </w:tcPr>
          <w:p>
            <w:pPr>
              <w:spacing w:after="0"/>
              <w:rPr>
                <w:sz w:val="20"/>
                <w:szCs w:val="20"/>
                <w:color w:val="auto"/>
              </w:rPr>
            </w:pPr>
            <w:r>
              <w:rPr>
                <w:rFonts w:ascii="Arial" w:cs="Arial" w:eastAsia="Arial" w:hAnsi="Arial"/>
                <w:sz w:val="18"/>
                <w:szCs w:val="18"/>
                <w:color w:val="auto"/>
              </w:rPr>
              <w:t>Technology Hardware, Storage &amp; Peripherals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16,234,215</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22"/>
                <w:szCs w:val="22"/>
                <w:color w:val="auto"/>
              </w:rPr>
            </w:pPr>
          </w:p>
        </w:tc>
      </w:tr>
      <w:tr>
        <w:trPr>
          <w:trHeight w:val="25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Specialized Consumer Services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15,939,397</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60" w:type="dxa"/>
            <w:vAlign w:val="bottom"/>
            <w:shd w:val="clear" w:color="auto" w:fill="CCEEFF"/>
          </w:tcPr>
          <w:p>
            <w:pPr>
              <w:spacing w:after="0"/>
              <w:rPr>
                <w:sz w:val="22"/>
                <w:szCs w:val="22"/>
                <w:color w:val="auto"/>
              </w:rPr>
            </w:pPr>
          </w:p>
        </w:tc>
      </w:tr>
      <w:tr>
        <w:trPr>
          <w:trHeight w:val="257"/>
        </w:trPr>
        <w:tc>
          <w:tcPr>
            <w:tcW w:w="5420" w:type="dxa"/>
            <w:vAlign w:val="bottom"/>
            <w:gridSpan w:val="2"/>
          </w:tcPr>
          <w:p>
            <w:pPr>
              <w:spacing w:after="0"/>
              <w:rPr>
                <w:sz w:val="20"/>
                <w:szCs w:val="20"/>
                <w:color w:val="auto"/>
              </w:rPr>
            </w:pPr>
            <w:r>
              <w:rPr>
                <w:rFonts w:ascii="Arial" w:cs="Arial" w:eastAsia="Arial" w:hAnsi="Arial"/>
                <w:sz w:val="18"/>
                <w:szCs w:val="18"/>
                <w:color w:val="auto"/>
              </w:rPr>
              <w:t>Semiconductors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14,429,583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8.62</w:t>
            </w:r>
          </w:p>
        </w:tc>
        <w:tc>
          <w:tcPr>
            <w:tcW w:w="160" w:type="dxa"/>
            <w:vAlign w:val="bottom"/>
          </w:tcPr>
          <w:p>
            <w:pPr>
              <w:spacing w:after="0"/>
              <w:rPr>
                <w:sz w:val="22"/>
                <w:szCs w:val="22"/>
                <w:color w:val="auto"/>
              </w:rPr>
            </w:pPr>
          </w:p>
        </w:tc>
      </w:tr>
      <w:tr>
        <w:trPr>
          <w:trHeight w:val="25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 Services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593,000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60" w:type="dxa"/>
            <w:vAlign w:val="bottom"/>
            <w:shd w:val="clear" w:color="auto" w:fill="CCEEFF"/>
          </w:tcPr>
          <w:p>
            <w:pPr>
              <w:spacing w:after="0"/>
              <w:rPr>
                <w:sz w:val="22"/>
                <w:szCs w:val="22"/>
                <w:color w:val="auto"/>
              </w:rPr>
            </w:pPr>
          </w:p>
        </w:tc>
      </w:tr>
      <w:tr>
        <w:trPr>
          <w:trHeight w:val="264"/>
        </w:trPr>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Advertising</w:t>
            </w:r>
          </w:p>
        </w:tc>
        <w:tc>
          <w:tcPr>
            <w:tcW w:w="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66,000</w:t>
            </w:r>
          </w:p>
        </w:tc>
        <w:tc>
          <w:tcPr>
            <w:tcW w:w="380" w:type="dxa"/>
            <w:vAlign w:val="bottom"/>
            <w:tcBorders>
              <w:bottom w:val="single" w:sz="8" w:color="CCEEFF"/>
            </w:tcBorders>
            <w:gridSpan w:val="2"/>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Borders>
              <w:bottom w:val="single" w:sz="8" w:color="CCEEFF"/>
            </w:tcBorders>
          </w:tcPr>
          <w:p>
            <w:pPr>
              <w:spacing w:after="0"/>
              <w:rPr>
                <w:sz w:val="22"/>
                <w:szCs w:val="22"/>
                <w:color w:val="auto"/>
              </w:rPr>
            </w:pPr>
          </w:p>
        </w:tc>
      </w:tr>
      <w:tr>
        <w:trPr>
          <w:trHeight w:val="277"/>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$224,248,389</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133.99%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-2296795</wp:posOffset>
            </wp:positionV>
            <wp:extent cx="47491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-3291205</wp:posOffset>
            </wp:positionV>
            <wp:extent cx="137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-3291205</wp:posOffset>
            </wp:positionV>
            <wp:extent cx="137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-213995</wp:posOffset>
            </wp:positionV>
            <wp:extent cx="474916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-1533525</wp:posOffset>
            </wp:positionV>
            <wp:extent cx="137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-1533525</wp:posOffset>
            </wp:positionV>
            <wp:extent cx="137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See notes to financial statements.</w:t>
      </w:r>
    </w:p>
    <w:p>
      <w:pPr>
        <w:spacing w:after="0" w:line="104"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Organization</w:t>
      </w:r>
    </w:p>
    <w:p>
      <w:pPr>
        <w:spacing w:after="0" w:line="148" w:lineRule="exact"/>
        <w:rPr>
          <w:sz w:val="20"/>
          <w:szCs w:val="20"/>
          <w:color w:val="auto"/>
        </w:rPr>
      </w:pPr>
    </w:p>
    <w:p>
      <w:pPr>
        <w:jc w:val="both"/>
        <w:ind w:left="1260" w:right="679" w:firstLine="360"/>
        <w:spacing w:after="0" w:line="273" w:lineRule="auto"/>
        <w:rPr>
          <w:sz w:val="20"/>
          <w:szCs w:val="20"/>
          <w:color w:val="auto"/>
        </w:rPr>
      </w:pPr>
      <w:r>
        <w:rPr>
          <w:rFonts w:ascii="Arial" w:cs="Arial" w:eastAsia="Arial" w:hAnsi="Arial"/>
          <w:sz w:val="17"/>
          <w:szCs w:val="17"/>
          <w:color w:val="auto"/>
        </w:rPr>
        <w:t>Runway Growth Credit Fund Inc. (the “Company”) is a Maryland corporation that was formed on August 31, 2015. The Company is an externally managed, non-diversified, closed-end investment company that has elected to be regulated as a business development company (“BDC”) under the Investment Company Act of 1940, as amended (the “1940 Act”). In addition, the Company has elected to be treated, has qualified, and intends to continue to qualify annually, as a regulated investment company (“RIC”) under Subchapter M of the Internal Revenue Code of 1986, as amended (the “Code”).</w:t>
      </w:r>
    </w:p>
    <w:p>
      <w:pPr>
        <w:spacing w:after="0" w:line="110" w:lineRule="exact"/>
        <w:rPr>
          <w:sz w:val="20"/>
          <w:szCs w:val="20"/>
          <w:color w:val="auto"/>
        </w:rPr>
      </w:pPr>
    </w:p>
    <w:p>
      <w:pPr>
        <w:jc w:val="both"/>
        <w:ind w:left="1260" w:right="679" w:firstLine="360"/>
        <w:spacing w:after="0" w:line="293" w:lineRule="auto"/>
        <w:rPr>
          <w:sz w:val="20"/>
          <w:szCs w:val="20"/>
          <w:color w:val="auto"/>
        </w:rPr>
      </w:pPr>
      <w:r>
        <w:rPr>
          <w:rFonts w:ascii="Arial" w:cs="Arial" w:eastAsia="Arial" w:hAnsi="Arial"/>
          <w:sz w:val="16"/>
          <w:szCs w:val="16"/>
          <w:color w:val="auto"/>
        </w:rPr>
        <w:t>The Company was formed primarily to lend to, and selectively invest in, small, fast-growing companies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Runway Administrator Services LLC (the “Administrator”) is a wholly owned subsidiary of RGC and provides administrative services necessary for the Company to operate.</w:t>
      </w:r>
    </w:p>
    <w:p>
      <w:pPr>
        <w:spacing w:after="0" w:line="97" w:lineRule="exact"/>
        <w:rPr>
          <w:sz w:val="20"/>
          <w:szCs w:val="20"/>
          <w:color w:val="auto"/>
        </w:rPr>
      </w:pPr>
    </w:p>
    <w:p>
      <w:pPr>
        <w:jc w:val="both"/>
        <w:ind w:left="1260" w:right="679" w:firstLine="360"/>
        <w:spacing w:after="0" w:line="287" w:lineRule="auto"/>
        <w:rPr>
          <w:sz w:val="20"/>
          <w:szCs w:val="20"/>
          <w:color w:val="auto"/>
        </w:rPr>
      </w:pPr>
      <w:r>
        <w:rPr>
          <w:rFonts w:ascii="Arial" w:cs="Arial" w:eastAsia="Arial" w:hAnsi="Arial"/>
          <w:sz w:val="16"/>
          <w:szCs w:val="16"/>
          <w:color w:val="auto"/>
        </w:rPr>
        <w:t>In October 2015, in connection with the Company’s formation, the Company issued and sold 1,667 shares of common stock to R. David Spreng, the President and Chief Executive Officer of the Company and Chairman of the Company’s Board of Directors, for an aggregate purchase price of $25,000. The sale of shares of common stock was approved by the unanimous consent of the Company’s sole director at the time. In December 2016, the Company completed the initial closing of capital commitments in its first private offering of shares of common stock to investors (the “Initial Private Offering”) in reliance on exemptions from the registration requirements of the Securities Act of 1933, as amended (the “Securities Act”), and other applicable securities laws. The final closing of the Initial Private Offering occurred on December 1, 2017. As of December 31, 2019, in connection with the Initial Private Offering, the Company had total capital commitments of $275,000,000 and had issued 18,241,157 shares of its common stock for a total purchase price of $275,000,000. The Company has issued an additional 2,568,390 shares as part of the dividend reinvestment program. Refer to Note 6 for further detail.</w:t>
      </w:r>
    </w:p>
    <w:p>
      <w:pPr>
        <w:spacing w:after="0" w:line="91" w:lineRule="exact"/>
        <w:rPr>
          <w:sz w:val="20"/>
          <w:szCs w:val="20"/>
          <w:color w:val="auto"/>
        </w:rPr>
      </w:pPr>
    </w:p>
    <w:p>
      <w:pPr>
        <w:jc w:val="both"/>
        <w:ind w:left="1260" w:right="679" w:firstLine="360"/>
        <w:spacing w:after="0" w:line="277" w:lineRule="auto"/>
        <w:rPr>
          <w:sz w:val="20"/>
          <w:szCs w:val="20"/>
          <w:color w:val="auto"/>
        </w:rPr>
      </w:pPr>
      <w:r>
        <w:rPr>
          <w:rFonts w:ascii="Arial" w:cs="Arial" w:eastAsia="Arial" w:hAnsi="Arial"/>
          <w:sz w:val="18"/>
          <w:szCs w:val="18"/>
          <w:color w:val="auto"/>
        </w:rPr>
        <w:t>As of December 31, 2019, the Company had completed multiple closings under its second private offering (the “Second Private Offering”) and had accepted capital commitments of $174,423,500.</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ind w:left="1260" w:right="679" w:firstLine="360"/>
        <w:spacing w:after="0" w:line="271" w:lineRule="auto"/>
        <w:rPr>
          <w:sz w:val="20"/>
          <w:szCs w:val="20"/>
          <w:color w:val="auto"/>
        </w:rPr>
      </w:pPr>
      <w:r>
        <w:rPr>
          <w:rFonts w:ascii="Arial" w:cs="Arial" w:eastAsia="Arial" w:hAnsi="Arial"/>
          <w:sz w:val="17"/>
          <w:szCs w:val="17"/>
          <w:color w:val="auto"/>
        </w:rPr>
        <w:t>The accompanying financial statements of the Company are prepared on the accrual basis of accounting in conformity with U.S. Generally Accepted Accounting Principles (“U.S. GAAP”) and pursuant to the requirements for reporting on Form 10-K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 Certain items in the December 31, 2018 and December 31, 2017 financial statements have been reclassified to conform to the December 31, 2019 presentation with no effect on net income.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left="1260" w:right="679" w:firstLine="360"/>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left="1260" w:right="679" w:firstLine="360"/>
        <w:spacing w:after="0" w:line="279" w:lineRule="auto"/>
        <w:rPr>
          <w:sz w:val="20"/>
          <w:szCs w:val="20"/>
          <w:color w:val="auto"/>
        </w:rPr>
      </w:pPr>
      <w:r>
        <w:rPr>
          <w:rFonts w:ascii="Arial" w:cs="Arial" w:eastAsia="Arial" w:hAnsi="Arial"/>
          <w:sz w:val="16"/>
          <w:szCs w:val="16"/>
          <w:color w:val="auto"/>
        </w:rPr>
        <w:t>Cash represents deposits held at financial institutions while cash equivalents are highly liquid investments held at financial institutions with an original maturity of three months or less at the date of acquisition. At times, the Company’s cash and cash equivalents exceed federally insured limits,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Deferred Credit Facility Fees</w:t>
      </w:r>
    </w:p>
    <w:p>
      <w:pPr>
        <w:spacing w:after="0" w:line="158" w:lineRule="exact"/>
        <w:rPr>
          <w:sz w:val="20"/>
          <w:szCs w:val="20"/>
          <w:color w:val="auto"/>
        </w:rPr>
      </w:pPr>
    </w:p>
    <w:p>
      <w:pPr>
        <w:jc w:val="both"/>
        <w:ind w:left="1260" w:right="679" w:firstLine="360"/>
        <w:spacing w:after="0" w:line="279" w:lineRule="auto"/>
        <w:rPr>
          <w:sz w:val="20"/>
          <w:szCs w:val="20"/>
          <w:color w:val="auto"/>
        </w:rPr>
      </w:pPr>
      <w:r>
        <w:rPr>
          <w:rFonts w:ascii="Arial" w:cs="Arial" w:eastAsia="Arial" w:hAnsi="Arial"/>
          <w:sz w:val="16"/>
          <w:szCs w:val="16"/>
          <w:color w:val="auto"/>
        </w:rPr>
        <w:t>The fees and expenses associated with opening the KeyBank loan facilities or Credit Agreement (as defined below) are being deferred and amortized as part of interest expense using the effective interest method over the term of the Credit Agreement in accordance with ASC 470, Debt. Debt issuance costs associated with the Credit Agreement are classified as a direct reduction of the carrying amount of borrowings with the Credit Agreement, unless there are no outstanding borrowings, in which case the debt issuance costs are presented as an asset.</w:t>
      </w:r>
    </w:p>
    <w:p>
      <w:pPr>
        <w:spacing w:after="0" w:line="92" w:lineRule="exact"/>
        <w:rPr>
          <w:sz w:val="20"/>
          <w:szCs w:val="20"/>
          <w:color w:val="auto"/>
        </w:rPr>
      </w:pPr>
    </w:p>
    <w:p>
      <w:pPr>
        <w:jc w:val="both"/>
        <w:ind w:left="1260" w:right="679" w:firstLine="360"/>
        <w:spacing w:after="0" w:line="279" w:lineRule="auto"/>
        <w:rPr>
          <w:sz w:val="20"/>
          <w:szCs w:val="20"/>
          <w:color w:val="auto"/>
        </w:rPr>
      </w:pPr>
      <w:r>
        <w:rPr>
          <w:rFonts w:ascii="Arial" w:cs="Arial" w:eastAsia="Arial" w:hAnsi="Arial"/>
          <w:sz w:val="16"/>
          <w:szCs w:val="16"/>
          <w:color w:val="auto"/>
        </w:rPr>
        <w:t>The fees and expenses associated with opening the CIBC USA Credit Facilities (as defined below) are being deferred and amortized as part of interest expense using the effective interest method over the term of the Credit Facilities in accordance with ASC 470, Debt. Debt issuance costs associated with the Credit Facilities are classified as a direct reduction of the carrying amount of borrowings with the Credit Agreement, unless there are no outstanding borrowings, in which case the debt issuance costs are presented as an asset.</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Reverse Repurchase agreement</w:t>
      </w:r>
    </w:p>
    <w:p>
      <w:pPr>
        <w:spacing w:after="0" w:line="144" w:lineRule="exact"/>
        <w:rPr>
          <w:sz w:val="20"/>
          <w:szCs w:val="20"/>
          <w:color w:val="auto"/>
        </w:rPr>
      </w:pPr>
    </w:p>
    <w:p>
      <w:pPr>
        <w:jc w:val="both"/>
        <w:ind w:left="1260" w:right="679" w:firstLine="360"/>
        <w:spacing w:after="0" w:line="269" w:lineRule="auto"/>
        <w:rPr>
          <w:sz w:val="20"/>
          <w:szCs w:val="20"/>
          <w:color w:val="auto"/>
        </w:rPr>
      </w:pPr>
      <w:r>
        <w:rPr>
          <w:rFonts w:ascii="Arial" w:cs="Arial" w:eastAsia="Arial" w:hAnsi="Arial"/>
          <w:sz w:val="16"/>
          <w:szCs w:val="16"/>
          <w:color w:val="auto"/>
        </w:rPr>
        <w:t>The Company may enter into reverse repurchase agreements, under the terms of a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sub-custodian, receives delivery of the underlying securities collateralizing repurchase agreements. The Company requires the custodian to take possession, to have legally segregated in the Federal Reserve Book Entry System, or to have segregated within the custodian’s vault, all securities held as collateral for repurchase agreements. The Company and the counterparties are permitted to sell, re-pledge, or use the collateral associated with the transaction. It is the Company’s policy that the market value of the collateral be at least equal to 100 percent of the repurchase price in the case of a repurchase agreement of one-day duration and 102 percent of the repurchase price in the case of all other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pacing w:after="0" w:line="100"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7"/>
          <w:szCs w:val="17"/>
          <w:color w:val="auto"/>
        </w:rPr>
        <w:t>Pursuant to a reverse repurchase agreement with Goldman Sachs, which expired on January 3, 2020, the Company purchased a U.S. Treasury Bill, due January 7, 2020. The fair value of the related collateral that the Company received for this agreement was $74,593,802 at December 31, 2019. Pursuant to a reverse repurchase agreement with Goldman Sachs which expired on January 2, 2019, the Company purchased a U.S. Treasury Bill, due January 3, 2019. The value of the related collateral that the Company received for this agreement was $79,959,928 at December 31, 2018. At December 31, 2019 and December 31, 2018, the repurchase liability is $74,593,802 and $79,560,129, respectively, which is reflected as Reverse Repurchase Agreement on the Statement of Assets and Liabilities.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158"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7"/>
          <w:szCs w:val="17"/>
          <w:color w:val="auto"/>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w:t>
      </w:r>
    </w:p>
    <w:p>
      <w:pPr>
        <w:spacing w:after="0" w:line="3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color w:val="auto"/>
        </w:rPr>
        <w:t>premiums and upfront loan origination fees. The Company reports changes from the prior period in fair value of investments that are measured at fair value as a component of net change in unrealized appreciation (depreciation) on investments on the Statements of Operations.</w:t>
      </w:r>
    </w:p>
    <w:p>
      <w:pPr>
        <w:spacing w:after="0" w:line="101" w:lineRule="exact"/>
        <w:rPr>
          <w:sz w:val="20"/>
          <w:szCs w:val="20"/>
          <w:color w:val="auto"/>
        </w:rPr>
      </w:pPr>
    </w:p>
    <w:p>
      <w:pPr>
        <w:jc w:val="both"/>
        <w:ind w:left="1260" w:right="679" w:firstLine="360"/>
        <w:spacing w:after="0" w:line="252" w:lineRule="auto"/>
        <w:rPr>
          <w:sz w:val="20"/>
          <w:szCs w:val="20"/>
          <w:color w:val="auto"/>
        </w:rPr>
      </w:pPr>
      <w:r>
        <w:rPr>
          <w:rFonts w:ascii="Arial" w:cs="Arial" w:eastAsia="Arial" w:hAnsi="Arial"/>
          <w:sz w:val="17"/>
          <w:szCs w:val="17"/>
          <w:color w:val="auto"/>
        </w:rPr>
        <w:t>Dividends are recorded on the ex-dividend date. Interest income, if any, adjusted for amortization of market premium and accretion of market discount, is recorded on an accrual basis to the extent that the Company expects to collect such amounts. Original issue discount, principally representing the estimated fair value of detachable equity or warrants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loan or debt security, any prepayment penalties, unamortized loan origination fees, end-of-term payments, and unamortized market discounts are recorded as interest income.</w:t>
      </w:r>
    </w:p>
    <w:p>
      <w:pPr>
        <w:spacing w:after="0" w:line="118" w:lineRule="exact"/>
        <w:rPr>
          <w:sz w:val="20"/>
          <w:szCs w:val="20"/>
          <w:color w:val="auto"/>
        </w:rPr>
      </w:pPr>
    </w:p>
    <w:p>
      <w:pPr>
        <w:jc w:val="both"/>
        <w:ind w:left="1260" w:right="679" w:firstLine="360"/>
        <w:spacing w:after="0" w:line="267" w:lineRule="auto"/>
        <w:rPr>
          <w:sz w:val="20"/>
          <w:szCs w:val="20"/>
          <w:color w:val="auto"/>
        </w:rPr>
      </w:pPr>
      <w:r>
        <w:rPr>
          <w:rFonts w:ascii="Arial" w:cs="Arial" w:eastAsia="Arial" w:hAnsi="Arial"/>
          <w:sz w:val="16"/>
          <w:szCs w:val="16"/>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the Company is required to distribute to stockholders to maintain its qualification as a RIC for U.S. federal income tax purposes, even though the Company has not yet collected the cash. Generally, when current cash interest and/or principal payments on a loan become past due, or if the Company otherwise does not expect the borrower to be able to service its debt and other obligations, the Company will place the investment on non-accrual status and will generally cease recognizing PIK interest and dividend income on that loan for financial reporting purposes until all principal and interest have been brought current through payment or due to a restructuring such that the interest and dividend income is deemed to be collectible. As of December 31, 2019, and December 31, 2018, the Company has not written off any accrued and uncollected PIK interest and dividends. As of December 31, 2019, the Company had one loan on nonaccrual status with total interest of $1,033,827 that would have been accrued into income. Had the loan not been on non-accrual status, $576,314 would be payable, and $457,513 would be original issue discount. For the year ended December 31, 2019, approximately 2.4% of the Company’s total investment income was attributable to non-cash PIK interest. The Company did not have non-cash PIK interest and dividend income for the years ended December 31, 2018 and December 31, 2017.</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158" w:lineRule="exact"/>
        <w:rPr>
          <w:sz w:val="20"/>
          <w:szCs w:val="20"/>
          <w:color w:val="auto"/>
        </w:rPr>
      </w:pPr>
    </w:p>
    <w:p>
      <w:pPr>
        <w:jc w:val="both"/>
        <w:ind w:left="1260" w:right="679" w:firstLine="360"/>
        <w:spacing w:after="0" w:line="243" w:lineRule="auto"/>
        <w:rPr>
          <w:sz w:val="20"/>
          <w:szCs w:val="20"/>
          <w:color w:val="auto"/>
        </w:rPr>
      </w:pPr>
      <w:r>
        <w:rPr>
          <w:rFonts w:ascii="Arial" w:cs="Arial" w:eastAsia="Arial" w:hAnsi="Arial"/>
          <w:sz w:val="18"/>
          <w:szCs w:val="18"/>
          <w:color w:val="auto"/>
        </w:rPr>
        <w:t xml:space="preserve">The Company measures the value of its investments at fair value in accordance with ASC </w:t>
      </w:r>
      <w:r>
        <w:rPr>
          <w:rFonts w:ascii="Arial" w:cs="Arial" w:eastAsia="Arial" w:hAnsi="Arial"/>
          <w:sz w:val="18"/>
          <w:szCs w:val="18"/>
          <w:i w:val="1"/>
          <w:iCs w:val="1"/>
          <w:color w:val="auto"/>
        </w:rPr>
        <w:t>Topic 820, 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Measurements and Disclosure </w:t>
      </w:r>
      <w:r>
        <w:rPr>
          <w:rFonts w:ascii="Arial" w:cs="Arial" w:eastAsia="Arial" w:hAnsi="Arial"/>
          <w:sz w:val="18"/>
          <w:szCs w:val="18"/>
          <w:color w:val="auto"/>
        </w:rPr>
        <w:t>(“ASC Topic 820”), issued by the FASB. Fair value is the price that would</w:t>
      </w:r>
      <w:r>
        <w:rPr>
          <w:rFonts w:ascii="Arial" w:cs="Arial" w:eastAsia="Arial" w:hAnsi="Arial"/>
          <w:sz w:val="18"/>
          <w:szCs w:val="18"/>
          <w:i w:val="1"/>
          <w:iCs w:val="1"/>
          <w:color w:val="auto"/>
        </w:rPr>
        <w:t xml:space="preserve"> </w:t>
      </w:r>
      <w:r>
        <w:rPr>
          <w:rFonts w:ascii="Arial" w:cs="Arial" w:eastAsia="Arial" w:hAnsi="Arial"/>
          <w:sz w:val="18"/>
          <w:szCs w:val="18"/>
          <w:color w:val="auto"/>
        </w:rPr>
        <w:t>be received to sell an asset or paid to transfer a liability in an orderly transaction between market participants at the measurement date.</w:t>
      </w:r>
    </w:p>
    <w:p>
      <w:pPr>
        <w:spacing w:after="0" w:line="107" w:lineRule="exact"/>
        <w:rPr>
          <w:sz w:val="20"/>
          <w:szCs w:val="20"/>
          <w:color w:val="auto"/>
        </w:rPr>
      </w:pPr>
    </w:p>
    <w:p>
      <w:pPr>
        <w:jc w:val="both"/>
        <w:ind w:left="1260" w:right="659" w:firstLine="360"/>
        <w:spacing w:after="0" w:line="253" w:lineRule="auto"/>
        <w:rPr>
          <w:sz w:val="20"/>
          <w:szCs w:val="20"/>
          <w:color w:val="auto"/>
        </w:rPr>
      </w:pPr>
      <w:r>
        <w:rPr>
          <w:rFonts w:ascii="Arial" w:cs="Arial" w:eastAsia="Arial" w:hAnsi="Arial"/>
          <w:sz w:val="17"/>
          <w:szCs w:val="17"/>
          <w:color w:val="auto"/>
        </w:rPr>
        <w:t>The audit committee of the Company’s Board of Directors (the “Audit Committee”) is responsible for assisting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w:t>
      </w:r>
    </w:p>
    <w:p>
      <w:pPr>
        <w:spacing w:after="0" w:line="36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jc w:val="both"/>
        <w:ind w:left="1260" w:right="679"/>
        <w:spacing w:after="0" w:line="263" w:lineRule="auto"/>
        <w:rPr>
          <w:sz w:val="20"/>
          <w:szCs w:val="20"/>
          <w:color w:val="auto"/>
        </w:rPr>
      </w:pPr>
      <w:r>
        <w:rPr>
          <w:rFonts w:ascii="Arial" w:cs="Arial" w:eastAsia="Arial" w:hAnsi="Arial"/>
          <w:sz w:val="18"/>
          <w:szCs w:val="18"/>
          <w:color w:val="auto"/>
        </w:rPr>
        <w:t>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03" w:lineRule="exact"/>
        <w:rPr>
          <w:sz w:val="20"/>
          <w:szCs w:val="20"/>
          <w:color w:val="auto"/>
        </w:rPr>
      </w:pPr>
    </w:p>
    <w:p>
      <w:pPr>
        <w:jc w:val="both"/>
        <w:ind w:left="1260" w:right="679" w:firstLine="360"/>
        <w:spacing w:after="0" w:line="293" w:lineRule="auto"/>
        <w:rPr>
          <w:sz w:val="20"/>
          <w:szCs w:val="20"/>
          <w:color w:val="auto"/>
        </w:rPr>
      </w:pPr>
      <w:r>
        <w:rPr>
          <w:rFonts w:ascii="Arial" w:cs="Arial" w:eastAsia="Arial" w:hAnsi="Arial"/>
          <w:sz w:val="16"/>
          <w:szCs w:val="16"/>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97" w:lineRule="exact"/>
        <w:rPr>
          <w:sz w:val="20"/>
          <w:szCs w:val="20"/>
          <w:color w:val="auto"/>
        </w:rPr>
      </w:pPr>
    </w:p>
    <w:p>
      <w:pPr>
        <w:jc w:val="both"/>
        <w:ind w:left="1260" w:right="679" w:firstLine="360"/>
        <w:spacing w:after="0" w:line="296" w:lineRule="auto"/>
        <w:rPr>
          <w:sz w:val="20"/>
          <w:szCs w:val="20"/>
          <w:color w:val="auto"/>
        </w:rPr>
      </w:pPr>
      <w:r>
        <w:rPr>
          <w:rFonts w:ascii="Arial" w:cs="Arial" w:eastAsia="Arial" w:hAnsi="Arial"/>
          <w:sz w:val="16"/>
          <w:szCs w:val="16"/>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67" w:lineRule="exact"/>
        <w:rPr>
          <w:sz w:val="20"/>
          <w:szCs w:val="20"/>
          <w:color w:val="auto"/>
        </w:rPr>
      </w:pPr>
    </w:p>
    <w:p>
      <w:pPr>
        <w:ind w:left="1800" w:right="679" w:hanging="178"/>
        <w:spacing w:after="0" w:line="277"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1 — Valuations are based on quoted prices in active markets for identical assets or liabilities that are accessible at the measurement date.</w:t>
      </w:r>
    </w:p>
    <w:p>
      <w:pPr>
        <w:spacing w:after="0" w:line="75" w:lineRule="exact"/>
        <w:rPr>
          <w:rFonts w:ascii="Arial" w:cs="Arial" w:eastAsia="Arial" w:hAnsi="Arial"/>
          <w:sz w:val="18"/>
          <w:szCs w:val="18"/>
          <w:color w:val="auto"/>
        </w:rPr>
      </w:pPr>
    </w:p>
    <w:p>
      <w:pPr>
        <w:jc w:val="both"/>
        <w:ind w:left="1800" w:right="679" w:hanging="178"/>
        <w:spacing w:after="0" w:line="263"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2 — Valuations are based on quoted prices in markets that are not active or for which all significant inputs are observable, either directly or indirectly and model-based valuation techniques for which all significant inputs are observable.</w:t>
      </w:r>
    </w:p>
    <w:p>
      <w:pPr>
        <w:spacing w:after="0" w:line="102" w:lineRule="exact"/>
        <w:rPr>
          <w:rFonts w:ascii="Arial" w:cs="Arial" w:eastAsia="Arial" w:hAnsi="Arial"/>
          <w:sz w:val="18"/>
          <w:szCs w:val="18"/>
          <w:color w:val="auto"/>
        </w:rPr>
      </w:pPr>
    </w:p>
    <w:p>
      <w:pPr>
        <w:jc w:val="both"/>
        <w:ind w:left="1800" w:right="679" w:hanging="178"/>
        <w:spacing w:after="0" w:line="296" w:lineRule="auto"/>
        <w:tabs>
          <w:tab w:leader="none" w:pos="18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80" w:lineRule="exact"/>
        <w:rPr>
          <w:sz w:val="20"/>
          <w:szCs w:val="20"/>
          <w:color w:val="auto"/>
        </w:rPr>
      </w:pPr>
    </w:p>
    <w:p>
      <w:pPr>
        <w:jc w:val="both"/>
        <w:ind w:left="1260" w:right="679" w:firstLine="360"/>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20" w:lineRule="exact"/>
        <w:rPr>
          <w:sz w:val="20"/>
          <w:szCs w:val="20"/>
          <w:color w:val="auto"/>
        </w:rPr>
      </w:pPr>
    </w:p>
    <w:p>
      <w:pPr>
        <w:jc w:val="both"/>
        <w:ind w:left="1260" w:right="679" w:firstLine="360"/>
        <w:spacing w:after="0" w:line="271" w:lineRule="auto"/>
        <w:rPr>
          <w:sz w:val="20"/>
          <w:szCs w:val="20"/>
          <w:color w:val="auto"/>
        </w:rPr>
      </w:pPr>
      <w:r>
        <w:rPr>
          <w:rFonts w:ascii="Arial" w:cs="Arial" w:eastAsia="Arial" w:hAnsi="Arial"/>
          <w:sz w:val="17"/>
          <w:szCs w:val="17"/>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11" w:lineRule="exact"/>
        <w:rPr>
          <w:sz w:val="20"/>
          <w:szCs w:val="20"/>
          <w:color w:val="auto"/>
        </w:rPr>
      </w:pPr>
    </w:p>
    <w:p>
      <w:pPr>
        <w:jc w:val="both"/>
        <w:ind w:left="1260" w:right="679" w:firstLine="36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Company undertakes a multi-step valuation process each quarter, as described below:</w:t>
      </w:r>
    </w:p>
    <w:p>
      <w:pPr>
        <w:spacing w:after="0" w:line="62" w:lineRule="exact"/>
        <w:rPr>
          <w:sz w:val="20"/>
          <w:szCs w:val="20"/>
          <w:color w:val="auto"/>
        </w:rPr>
      </w:pPr>
    </w:p>
    <w:p>
      <w:pPr>
        <w:ind w:left="1800" w:right="679" w:hanging="178"/>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investment being initially valued by RGC’s investment professionals that are responsible for the portfolio investment;</w:t>
      </w:r>
    </w:p>
    <w:p>
      <w:pPr>
        <w:spacing w:after="0" w:line="89"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189" w:lineRule="exact"/>
        <w:rPr>
          <w:sz w:val="20"/>
          <w:szCs w:val="20"/>
          <w:color w:val="auto"/>
        </w:rPr>
      </w:pPr>
    </w:p>
    <w:p>
      <w:pPr>
        <w:jc w:val="both"/>
        <w:ind w:left="1800" w:right="679" w:hanging="178"/>
        <w:spacing w:after="0" w:line="259"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an independent valuation firm. Certain investments, however, may not be evaluated by an independent valuation firm unless the net asset value and other aspects of such investments in the aggregate exceed certain thresholds;</w:t>
      </w:r>
    </w:p>
    <w:p>
      <w:pPr>
        <w:spacing w:after="0" w:line="78" w:lineRule="exact"/>
        <w:rPr>
          <w:rFonts w:ascii="Arial" w:cs="Arial" w:eastAsia="Arial" w:hAnsi="Arial"/>
          <w:sz w:val="18"/>
          <w:szCs w:val="18"/>
          <w:color w:val="auto"/>
        </w:rPr>
      </w:pPr>
    </w:p>
    <w:p>
      <w:pPr>
        <w:ind w:left="1800" w:right="679" w:hanging="178"/>
        <w:spacing w:after="0" w:line="342" w:lineRule="auto"/>
        <w:tabs>
          <w:tab w:leader="none" w:pos="18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Audit Committee then reviews these preliminary valuations from RGC and the independent valuation firm, if any, and makes a recommendation to our Board of Directors regarding such valuations; and</w:t>
      </w:r>
    </w:p>
    <w:p>
      <w:pPr>
        <w:spacing w:after="0" w:line="15" w:lineRule="exact"/>
        <w:rPr>
          <w:rFonts w:ascii="Arial" w:cs="Arial" w:eastAsia="Arial" w:hAnsi="Arial"/>
          <w:sz w:val="16"/>
          <w:szCs w:val="16"/>
          <w:color w:val="auto"/>
        </w:rPr>
      </w:pPr>
    </w:p>
    <w:p>
      <w:pPr>
        <w:jc w:val="both"/>
        <w:ind w:left="1800" w:right="679" w:hanging="178"/>
        <w:spacing w:after="0" w:line="290" w:lineRule="auto"/>
        <w:tabs>
          <w:tab w:leader="none" w:pos="18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Company’s Board of Directors reviews the recommended preliminary valuations and determines the fair value of each investment in the Company’s portfolio, in good faith, based on the input of RGC, the independent valuation firm and the Audit Committee. The Company’s investments are primarily loans made to and equity and warrants of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144" w:lineRule="exact"/>
        <w:rPr>
          <w:sz w:val="20"/>
          <w:szCs w:val="20"/>
          <w:color w:val="auto"/>
        </w:rPr>
      </w:pPr>
    </w:p>
    <w:p>
      <w:pPr>
        <w:jc w:val="both"/>
        <w:ind w:left="1260" w:right="679" w:firstLine="360"/>
        <w:spacing w:after="0" w:line="290" w:lineRule="auto"/>
        <w:rPr>
          <w:sz w:val="20"/>
          <w:szCs w:val="20"/>
          <w:color w:val="auto"/>
        </w:rPr>
      </w:pPr>
      <w:r>
        <w:rPr>
          <w:rFonts w:ascii="Arial" w:cs="Arial" w:eastAsia="Arial" w:hAnsi="Arial"/>
          <w:sz w:val="16"/>
          <w:szCs w:val="16"/>
          <w:i w:val="1"/>
          <w:iCs w:val="1"/>
          <w:color w:val="auto"/>
        </w:rPr>
        <w:t xml:space="preserve">Debt Investments: </w:t>
      </w:r>
      <w:r>
        <w:rPr>
          <w:rFonts w:ascii="Arial" w:cs="Arial" w:eastAsia="Arial" w:hAnsi="Arial"/>
          <w:sz w:val="16"/>
          <w:szCs w:val="16"/>
          <w:color w:val="auto"/>
        </w:rPr>
        <w:t>To determine the fair value of the Company’s debt investments, the Company compares</w:t>
      </w:r>
      <w:r>
        <w:rPr>
          <w:rFonts w:ascii="Arial" w:cs="Arial" w:eastAsia="Arial" w:hAnsi="Arial"/>
          <w:sz w:val="16"/>
          <w:szCs w:val="16"/>
          <w:i w:val="1"/>
          <w:iCs w:val="1"/>
          <w:color w:val="auto"/>
        </w:rPr>
        <w:t xml:space="preserve"> </w:t>
      </w:r>
      <w:r>
        <w:rPr>
          <w:rFonts w:ascii="Arial" w:cs="Arial" w:eastAsia="Arial" w:hAnsi="Arial"/>
          <w:sz w:val="16"/>
          <w:szCs w:val="16"/>
          <w:color w:val="auto"/>
        </w:rPr>
        <w:t>the cost basis of the debt investment, which 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98" w:lineRule="exact"/>
        <w:rPr>
          <w:sz w:val="20"/>
          <w:szCs w:val="20"/>
          <w:color w:val="auto"/>
        </w:rPr>
      </w:pPr>
    </w:p>
    <w:p>
      <w:pPr>
        <w:jc w:val="both"/>
        <w:ind w:left="1260" w:right="679" w:firstLine="360"/>
        <w:spacing w:after="0" w:line="296" w:lineRule="auto"/>
        <w:rPr>
          <w:sz w:val="20"/>
          <w:szCs w:val="20"/>
          <w:color w:val="auto"/>
        </w:rPr>
      </w:pPr>
      <w:r>
        <w:rPr>
          <w:rFonts w:ascii="Arial" w:cs="Arial" w:eastAsia="Arial" w:hAnsi="Arial"/>
          <w:sz w:val="16"/>
          <w:szCs w:val="16"/>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w:t>
      </w:r>
    </w:p>
    <w:p>
      <w:pPr>
        <w:spacing w:after="0" w:line="94" w:lineRule="exact"/>
        <w:rPr>
          <w:sz w:val="20"/>
          <w:szCs w:val="20"/>
          <w:color w:val="auto"/>
        </w:rPr>
      </w:pPr>
    </w:p>
    <w:p>
      <w:pPr>
        <w:jc w:val="both"/>
        <w:ind w:left="1260" w:right="679" w:firstLine="360"/>
        <w:spacing w:after="0" w:line="275" w:lineRule="auto"/>
        <w:rPr>
          <w:sz w:val="20"/>
          <w:szCs w:val="20"/>
          <w:color w:val="auto"/>
        </w:rPr>
      </w:pPr>
      <w:r>
        <w:rPr>
          <w:rFonts w:ascii="Arial" w:cs="Arial" w:eastAsia="Arial" w:hAnsi="Arial"/>
          <w:sz w:val="17"/>
          <w:szCs w:val="17"/>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95"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Fair value of warrants is primarily determined using a Black Scholes option-pricing model.</w:t>
      </w:r>
      <w:r>
        <w:rPr>
          <w:rFonts w:ascii="Arial" w:cs="Arial" w:eastAsia="Arial" w:hAnsi="Arial"/>
          <w:sz w:val="18"/>
          <w:szCs w:val="18"/>
          <w:i w:val="1"/>
          <w:iCs w:val="1"/>
          <w:color w:val="auto"/>
        </w:rPr>
        <w:t xml:space="preserve"> </w:t>
      </w:r>
      <w:r>
        <w:rPr>
          <w:rFonts w:ascii="Arial" w:cs="Arial" w:eastAsia="Arial" w:hAnsi="Arial"/>
          <w:sz w:val="18"/>
          <w:szCs w:val="18"/>
          <w:color w:val="auto"/>
        </w:rPr>
        <w:t>Privately held warrants and equity-related securities are valued based on an analysis of various factors including, but not limited to, the following:</w:t>
      </w:r>
    </w:p>
    <w:p>
      <w:pPr>
        <w:spacing w:after="0" w:line="76" w:lineRule="exact"/>
        <w:rPr>
          <w:sz w:val="20"/>
          <w:szCs w:val="20"/>
          <w:color w:val="auto"/>
        </w:rPr>
      </w:pPr>
    </w:p>
    <w:p>
      <w:pPr>
        <w:jc w:val="both"/>
        <w:ind w:left="1800" w:right="679" w:hanging="178"/>
        <w:spacing w:after="0" w:line="271" w:lineRule="auto"/>
        <w:tabs>
          <w:tab w:leader="none" w:pos="18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w:t>
      </w:r>
    </w:p>
    <w:p>
      <w:pPr>
        <w:spacing w:after="0" w:line="3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jc w:val="both"/>
        <w:ind w:left="1800" w:right="679"/>
        <w:spacing w:after="0" w:line="248" w:lineRule="auto"/>
        <w:rPr>
          <w:sz w:val="20"/>
          <w:szCs w:val="20"/>
          <w:color w:val="auto"/>
        </w:rPr>
      </w:pPr>
      <w:r>
        <w:rPr>
          <w:rFonts w:ascii="Arial" w:cs="Arial" w:eastAsia="Arial" w:hAnsi="Arial"/>
          <w:sz w:val="18"/>
          <w:szCs w:val="18"/>
          <w:color w:val="auto"/>
        </w:rPr>
        <w:t>the portfolio. Such techniques include Option Pricing Models, or “OPM,” including back-solve techniques, Probability Weighted Expected Return Models, or “PWERM,” and other techniques as determined to be appropriate.</w:t>
      </w:r>
    </w:p>
    <w:p>
      <w:pPr>
        <w:spacing w:after="0" w:line="60" w:lineRule="exact"/>
        <w:rPr>
          <w:sz w:val="20"/>
          <w:szCs w:val="20"/>
          <w:color w:val="auto"/>
        </w:rPr>
      </w:pPr>
    </w:p>
    <w:p>
      <w:pPr>
        <w:jc w:val="both"/>
        <w:ind w:left="1800" w:right="679" w:hanging="178"/>
        <w:spacing w:after="0" w:line="255"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84" w:lineRule="exact"/>
        <w:rPr>
          <w:rFonts w:ascii="Arial" w:cs="Arial" w:eastAsia="Arial" w:hAnsi="Arial"/>
          <w:sz w:val="18"/>
          <w:szCs w:val="18"/>
          <w:color w:val="auto"/>
        </w:rPr>
      </w:pPr>
    </w:p>
    <w:p>
      <w:pPr>
        <w:jc w:val="both"/>
        <w:ind w:left="1800" w:right="679" w:hanging="178"/>
        <w:spacing w:after="0" w:line="273" w:lineRule="auto"/>
        <w:tabs>
          <w:tab w:leader="none" w:pos="1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69" w:lineRule="exact"/>
        <w:rPr>
          <w:rFonts w:ascii="Arial" w:cs="Arial" w:eastAsia="Arial" w:hAnsi="Arial"/>
          <w:sz w:val="17"/>
          <w:szCs w:val="17"/>
          <w:color w:val="auto"/>
        </w:rPr>
      </w:pPr>
    </w:p>
    <w:p>
      <w:pPr>
        <w:jc w:val="both"/>
        <w:ind w:left="1800" w:right="679" w:hanging="178"/>
        <w:spacing w:after="0" w:line="275" w:lineRule="auto"/>
        <w:tabs>
          <w:tab w:leader="none" w:pos="1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54" w:lineRule="exact"/>
        <w:rPr>
          <w:rFonts w:ascii="Arial" w:cs="Arial" w:eastAsia="Arial" w:hAnsi="Arial"/>
          <w:sz w:val="17"/>
          <w:szCs w:val="17"/>
          <w:color w:val="auto"/>
        </w:rPr>
      </w:pPr>
    </w:p>
    <w:p>
      <w:pPr>
        <w:jc w:val="both"/>
        <w:ind w:left="1800" w:right="679" w:hanging="178"/>
        <w:spacing w:after="0" w:line="290" w:lineRule="auto"/>
        <w:tabs>
          <w:tab w:leader="none" w:pos="18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or decreases in this unobservable input could result in a significantly higher or lower fair value, but a significantly higher or lower fair value measurement of any of the Company’s portfolio investments may occur regardless of whether there is a significant increase or decrease in this unobservable input.</w:t>
      </w:r>
    </w:p>
    <w:p>
      <w:pPr>
        <w:spacing w:after="0" w:line="98" w:lineRule="exact"/>
        <w:rPr>
          <w:sz w:val="20"/>
          <w:szCs w:val="20"/>
          <w:color w:val="auto"/>
        </w:rPr>
      </w:pPr>
    </w:p>
    <w:p>
      <w:pPr>
        <w:jc w:val="both"/>
        <w:ind w:left="1260" w:right="679" w:firstLine="360"/>
        <w:spacing w:after="0"/>
        <w:rPr>
          <w:sz w:val="20"/>
          <w:szCs w:val="20"/>
          <w:color w:val="auto"/>
        </w:rPr>
      </w:pPr>
      <w:r>
        <w:rPr>
          <w:rFonts w:ascii="Arial" w:cs="Arial" w:eastAsia="Arial" w:hAnsi="Arial"/>
          <w:sz w:val="18"/>
          <w:szCs w:val="18"/>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22" w:lineRule="exact"/>
        <w:rPr>
          <w:sz w:val="20"/>
          <w:szCs w:val="20"/>
          <w:color w:val="auto"/>
        </w:rPr>
      </w:pPr>
    </w:p>
    <w:p>
      <w:pPr>
        <w:jc w:val="both"/>
        <w:ind w:left="1260" w:right="679" w:firstLine="360"/>
        <w:spacing w:after="0" w:line="276" w:lineRule="auto"/>
        <w:rPr>
          <w:sz w:val="20"/>
          <w:szCs w:val="20"/>
          <w:color w:val="auto"/>
        </w:rPr>
      </w:pPr>
      <w:r>
        <w:rPr>
          <w:rFonts w:ascii="Arial" w:cs="Arial" w:eastAsia="Arial" w:hAnsi="Arial"/>
          <w:sz w:val="16"/>
          <w:szCs w:val="16"/>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80" w:lineRule="exact"/>
        <w:rPr>
          <w:sz w:val="20"/>
          <w:szCs w:val="20"/>
          <w:color w:val="auto"/>
        </w:rPr>
      </w:pPr>
    </w:p>
    <w:p>
      <w:pPr>
        <w:jc w:val="both"/>
        <w:ind w:left="1260" w:right="679" w:firstLine="360"/>
        <w:spacing w:after="0" w:line="271"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amount 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w:t>
      </w:r>
    </w:p>
    <w:p>
      <w:pPr>
        <w:sectPr>
          <w:pgSz w:w="11900" w:h="16838" w:orient="portrait"/>
          <w:cols w:equalWidth="0" w:num="1">
            <w:col w:w="10139"/>
          </w:cols>
          <w:pgMar w:left="320" w:top="131" w:right="1440" w:bottom="1440" w:gutter="0" w:footer="0" w:header="0"/>
        </w:sectPr>
      </w:pPr>
    </w:p>
    <w:p>
      <w:pPr>
        <w:spacing w:after="0" w:line="35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7" w:name="page98"/>
    <w:bookmarkEnd w:id="97"/>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jc w:val="both"/>
        <w:ind w:left="1260" w:right="679"/>
        <w:spacing w:after="0"/>
        <w:rPr>
          <w:sz w:val="20"/>
          <w:szCs w:val="20"/>
          <w:color w:val="auto"/>
        </w:rPr>
      </w:pPr>
      <w:r>
        <w:rPr>
          <w:rFonts w:ascii="Arial" w:cs="Arial" w:eastAsia="Arial" w:hAnsi="Arial"/>
          <w:sz w:val="18"/>
          <w:szCs w:val="18"/>
          <w:color w:val="auto"/>
        </w:rPr>
        <w:t>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44" w:lineRule="exact"/>
        <w:rPr>
          <w:sz w:val="20"/>
          <w:szCs w:val="20"/>
          <w:color w:val="auto"/>
        </w:rPr>
      </w:pPr>
    </w:p>
    <w:p>
      <w:pPr>
        <w:jc w:val="both"/>
        <w:ind w:left="1260" w:right="679" w:firstLine="360"/>
        <w:spacing w:after="0" w:line="261" w:lineRule="auto"/>
        <w:rPr>
          <w:sz w:val="20"/>
          <w:szCs w:val="20"/>
          <w:color w:val="auto"/>
        </w:rPr>
      </w:pPr>
      <w:r>
        <w:rPr>
          <w:rFonts w:ascii="Arial" w:cs="Arial" w:eastAsia="Arial" w:hAnsi="Arial"/>
          <w:sz w:val="18"/>
          <w:szCs w:val="18"/>
          <w:color w:val="auto"/>
        </w:rPr>
        <w:t>The carrying amounts of the Company’s financial instruments, including cash and accrued liabilities, approximate fair value due to their short-term nature.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Investment Classification</w:t>
      </w:r>
    </w:p>
    <w:p>
      <w:pPr>
        <w:spacing w:after="0" w:line="158"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7"/>
          <w:szCs w:val="17"/>
          <w:color w:val="auto"/>
        </w:rPr>
        <w:t>The Company is a non-diversified company within the meaning of the 1940 Act. The Company classifies its investments by level of control. As defined in the 1940 Act, control investments are those where there is the ability or power to exercise a controlling influence over the management or policies of a company. Control is generally deemed to exist when a company or individual possesses or has the right to acquire within 60 days or less, a beneficial ownership of more than 25.0% of the voting securities of an investee company. Affiliated investments and affiliated companies are defined by a lesser degree of influence and are deemed to exist through the possession outright, or via the right to acquire within 60 days or less, beneficial ownership of 5.0% or more of the outstanding voting securities of a company.</w:t>
      </w:r>
    </w:p>
    <w:p>
      <w:pPr>
        <w:spacing w:after="0" w:line="113"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7"/>
          <w:szCs w:val="17"/>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Statements of Assets and Liabilities.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ind w:left="1260" w:right="679" w:firstLine="360"/>
        <w:spacing w:after="0" w:line="269" w:lineRule="auto"/>
        <w:rPr>
          <w:sz w:val="20"/>
          <w:szCs w:val="20"/>
          <w:color w:val="auto"/>
        </w:rPr>
      </w:pPr>
      <w:r>
        <w:rPr>
          <w:rFonts w:ascii="Arial" w:cs="Arial" w:eastAsia="Arial" w:hAnsi="Arial"/>
          <w:sz w:val="17"/>
          <w:szCs w:val="17"/>
          <w:color w:val="auto"/>
        </w:rPr>
        <w:t>The Company elected to be treated as a RIC under Subchapter M of the Code starting with its taxable year ended December 31, 2016 and intends to qualify annually for the tax treatment applicable to RICs. Generally, a RIC is not subject to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pay corporate-level U.S. federal income taxes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federal income taxes in the future.</w:t>
      </w:r>
    </w:p>
    <w:p>
      <w:pPr>
        <w:spacing w:after="0" w:line="114" w:lineRule="exact"/>
        <w:rPr>
          <w:sz w:val="20"/>
          <w:szCs w:val="20"/>
          <w:color w:val="auto"/>
        </w:rPr>
      </w:pPr>
    </w:p>
    <w:p>
      <w:pPr>
        <w:jc w:val="both"/>
        <w:ind w:left="1260" w:right="679" w:firstLine="360"/>
        <w:spacing w:after="0" w:line="290" w:lineRule="auto"/>
        <w:rPr>
          <w:sz w:val="20"/>
          <w:szCs w:val="20"/>
          <w:color w:val="auto"/>
        </w:rPr>
      </w:pPr>
      <w:r>
        <w:rPr>
          <w:rFonts w:ascii="Arial" w:cs="Arial" w:eastAsia="Arial" w:hAnsi="Arial"/>
          <w:sz w:val="16"/>
          <w:szCs w:val="16"/>
          <w:color w:val="auto"/>
        </w:rPr>
        <w:t>Depending on the level of taxable income earned in a tax year, we may choose to carry forward such taxable income in excess of current year dividend distributions from such current year taxable income into the next tax year and pay a 4% excise tax on such income, as required. If we determine that our estimated current year taxable income will exceed our estimated dividend distributions for the current year from such income, we accrue excise tax on estimated excess taxable income as such taxable income is earned. For the years ended December 31, 2019 and 2018, we recorded an expense of $99,549 and $183,510, respectively, for U.S. federal excise tax, which is included in tax expense in the statement of operations. Differences between taxable income and net increase in net assets resulting from operations either can be temporary, meaning they will reverse in</w:t>
      </w:r>
    </w:p>
    <w:p>
      <w:pPr>
        <w:spacing w:after="0" w:line="34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jc w:val="both"/>
        <w:ind w:left="1260" w:right="659"/>
        <w:spacing w:after="0" w:line="257" w:lineRule="auto"/>
        <w:rPr>
          <w:sz w:val="20"/>
          <w:szCs w:val="20"/>
          <w:color w:val="auto"/>
        </w:rPr>
      </w:pPr>
      <w:r>
        <w:rPr>
          <w:rFonts w:ascii="Arial" w:cs="Arial" w:eastAsia="Arial" w:hAnsi="Arial"/>
          <w:sz w:val="18"/>
          <w:szCs w:val="18"/>
          <w:color w:val="auto"/>
        </w:rPr>
        <w:t>the future, or permanent. In accordance with Section 946-205-45-3 of the ASC, permanent tax differences are reclassified from accumulated undistributed earnings to paid-in-capital at the end of each year and have no impact on total net assets. For the years ended December 31, 2019 and 2018, the Company reclassified for book purposes amounts arising from permanent book/tax differences related to non-deductible excise taxes paid as follows:</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Year Ended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556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55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6"/>
        </w:trPr>
        <w:tc>
          <w:tcPr>
            <w:tcW w:w="55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$(99,549)</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$(183,510)</w:t>
            </w:r>
          </w:p>
        </w:tc>
      </w:tr>
      <w:tr>
        <w:trPr>
          <w:trHeight w:val="257"/>
        </w:trPr>
        <w:tc>
          <w:tcPr>
            <w:tcW w:w="5560" w:type="dxa"/>
            <w:vAlign w:val="bottom"/>
          </w:tcPr>
          <w:p>
            <w:pPr>
              <w:spacing w:after="0"/>
              <w:rPr>
                <w:sz w:val="20"/>
                <w:szCs w:val="20"/>
                <w:color w:val="auto"/>
              </w:rPr>
            </w:pPr>
            <w:r>
              <w:rPr>
                <w:rFonts w:ascii="Arial" w:cs="Arial" w:eastAsia="Arial" w:hAnsi="Arial"/>
                <w:sz w:val="18"/>
                <w:szCs w:val="18"/>
                <w:color w:val="auto"/>
              </w:rPr>
              <w:t>Accumulated undistributed earnings</w:t>
            </w: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99,549</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183,510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-334010</wp:posOffset>
            </wp:positionV>
            <wp:extent cx="42087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114"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For federal income tax purposes, distributions paid to stockholders are reported as ordinary income, return of capital, long term capital gains or a combination thereof. The tax character of distributions paid for the years ended December 31, 2019 and 2018 was as follows:</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55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55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6"/>
        </w:trPr>
        <w:tc>
          <w:tcPr>
            <w:tcW w:w="5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$40,651,335</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$7,283,810</w:t>
            </w: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Long-term capital gain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-496570</wp:posOffset>
            </wp:positionV>
            <wp:extent cx="42087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114" w:lineRule="exact"/>
        <w:rPr>
          <w:sz w:val="20"/>
          <w:szCs w:val="20"/>
          <w:color w:val="auto"/>
        </w:rPr>
      </w:pPr>
    </w:p>
    <w:p>
      <w:pPr>
        <w:jc w:val="both"/>
        <w:ind w:left="1260" w:right="679" w:firstLine="360"/>
        <w:spacing w:after="0" w:line="277" w:lineRule="auto"/>
        <w:rPr>
          <w:sz w:val="20"/>
          <w:szCs w:val="20"/>
          <w:color w:val="auto"/>
        </w:rPr>
      </w:pPr>
      <w:r>
        <w:rPr>
          <w:rFonts w:ascii="Arial" w:cs="Arial" w:eastAsia="Arial" w:hAnsi="Arial"/>
          <w:sz w:val="18"/>
          <w:szCs w:val="18"/>
          <w:color w:val="auto"/>
        </w:rPr>
        <w:t>Certain shareholders who are deemed “Affected Investors” as a result of the Company not being a publicly traded Regulated Investment Company may have additional taxable income.</w:t>
      </w:r>
    </w:p>
    <w:p>
      <w:pPr>
        <w:spacing w:after="0" w:line="103"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For federal income tax purposes, the tax cost of investments as of December 31, 2019 and 2018 was $480,118,372 and $304,063,822, respectively. The net unrealized appreciation (depreciation) on investments owned at December 31, 2019 and 2018 was $(12,136,672) and $277,495, respectively.</w:t>
      </w:r>
    </w:p>
    <w:p>
      <w:pPr>
        <w:spacing w:after="0" w:line="103"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7"/>
          <w:szCs w:val="17"/>
          <w:color w:val="auto"/>
        </w:rPr>
        <w:t>At December 31, 2019 and 2018, the components of distributable earnings on a tax basis detailed below differ from the amounts reflected in the Company’s Statements of Assets and Liabilities by temporary and other book/tax differences, primarily relating to the tax treatment of debt modifications, as follows:</w:t>
      </w:r>
    </w:p>
    <w:p>
      <w:pPr>
        <w:spacing w:after="0" w:line="13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r>
      <w:tr>
        <w:trPr>
          <w:trHeight w:val="25"/>
        </w:trPr>
        <w:tc>
          <w:tcPr>
            <w:tcW w:w="5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27,646,400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11,757,516</w:t>
            </w: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w w:val="95"/>
              </w:rPr>
              <w:t>Net change in unrealized appreciation (depreciation) on investments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9,416,462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8,693</w:t>
            </w: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book to tax differences</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2,940,608</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347,516</w:t>
            </w: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Taxable income</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40,003,470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12,113,725</w:t>
            </w: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Distributed during the year</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35,821,420</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7,283,810</w:t>
            </w: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Accumulated undistributed earnings on a tax basis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4,182,050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4,829,915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-1019810</wp:posOffset>
            </wp:positionV>
            <wp:extent cx="41662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the years ended December 31, 2019 and 2018, the Company had no net capital loss carryforwards.</w:t>
      </w:r>
    </w:p>
    <w:p>
      <w:pPr>
        <w:spacing w:after="0" w:line="169" w:lineRule="exact"/>
        <w:rPr>
          <w:sz w:val="20"/>
          <w:szCs w:val="20"/>
          <w:color w:val="auto"/>
        </w:rPr>
      </w:pPr>
    </w:p>
    <w:p>
      <w:pPr>
        <w:jc w:val="both"/>
        <w:ind w:left="1260" w:right="679" w:firstLine="360"/>
        <w:spacing w:after="0" w:line="290" w:lineRule="auto"/>
        <w:rPr>
          <w:sz w:val="20"/>
          <w:szCs w:val="20"/>
          <w:color w:val="auto"/>
        </w:rPr>
      </w:pPr>
      <w:r>
        <w:rPr>
          <w:rFonts w:ascii="Arial" w:cs="Arial" w:eastAsia="Arial" w:hAnsi="Arial"/>
          <w:sz w:val="16"/>
          <w:szCs w:val="16"/>
          <w:color w:val="auto"/>
        </w:rPr>
        <w:t>The Company accounts for income taxes in conformity with ASC Topic 740 — Income Taxes (“ASC 740”). ASC 740 provides guidelines for how uncertain tax positions should be recognized, measured, presented and disclosed in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Statements of Operations. There were no material uncertain income tax positions</w:t>
      </w:r>
    </w:p>
    <w:p>
      <w:pPr>
        <w:sectPr>
          <w:pgSz w:w="11900" w:h="16838" w:orient="portrait"/>
          <w:cols w:equalWidth="0" w:num="1">
            <w:col w:w="10139"/>
          </w:cols>
          <w:pgMar w:left="320" w:top="131" w:right="1440" w:bottom="1440" w:gutter="0" w:footer="0" w:header="0"/>
        </w:sectPr>
      </w:pPr>
    </w:p>
    <w:p>
      <w:pPr>
        <w:spacing w:after="0" w:line="34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9" w:name="page100"/>
    <w:bookmarkEnd w:id="99"/>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color w:val="auto"/>
        </w:rPr>
        <w:t>at December 31, 2018. Although we file federal and state tax returns, our major tax jurisdiction is federal. The Company remains subject to examination by the Internal Revenue Service for the first full tax year ending December 31, 2015 and all future years.</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If the Company does not distribute (or is not deemed to have distributed) each calendar year the sum of</w:t>
      </w:r>
    </w:p>
    <w:p>
      <w:pPr>
        <w:spacing w:after="0" w:line="23" w:lineRule="exact"/>
        <w:rPr>
          <w:sz w:val="20"/>
          <w:szCs w:val="20"/>
          <w:color w:val="auto"/>
        </w:rPr>
      </w:pPr>
    </w:p>
    <w:p>
      <w:pPr>
        <w:jc w:val="both"/>
        <w:ind w:left="1260" w:right="679" w:firstLine="2"/>
        <w:spacing w:after="0" w:line="251" w:lineRule="auto"/>
        <w:tabs>
          <w:tab w:leader="none" w:pos="1527" w:val="left"/>
        </w:tabs>
        <w:numPr>
          <w:ilvl w:val="0"/>
          <w:numId w:val="63"/>
        </w:numPr>
        <w:rPr>
          <w:rFonts w:ascii="Arial" w:cs="Arial" w:eastAsia="Arial" w:hAnsi="Arial"/>
          <w:sz w:val="17"/>
          <w:szCs w:val="17"/>
          <w:color w:val="auto"/>
        </w:rPr>
      </w:pPr>
      <w:r>
        <w:rPr>
          <w:rFonts w:ascii="Arial" w:cs="Arial" w:eastAsia="Arial" w:hAnsi="Arial"/>
          <w:sz w:val="17"/>
          <w:szCs w:val="17"/>
          <w:color w:val="auto"/>
        </w:rPr>
        <w:t>98% of its net ordinary income for each calendar year, (2) 98.2% of its capital gain net income for the one-year period ending October 31 in that calendar year and (3) any income recognized, but not distributed, in preceding years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15" w:lineRule="exact"/>
        <w:rPr>
          <w:sz w:val="20"/>
          <w:szCs w:val="20"/>
          <w:color w:val="auto"/>
        </w:rPr>
      </w:pPr>
    </w:p>
    <w:p>
      <w:pPr>
        <w:jc w:val="both"/>
        <w:ind w:left="1260" w:right="679" w:firstLine="360"/>
        <w:spacing w:after="0" w:line="269" w:lineRule="auto"/>
        <w:rPr>
          <w:sz w:val="20"/>
          <w:szCs w:val="20"/>
          <w:color w:val="auto"/>
        </w:rPr>
      </w:pPr>
      <w:r>
        <w:rPr>
          <w:rFonts w:ascii="Arial" w:cs="Arial" w:eastAsia="Arial" w:hAnsi="Arial"/>
          <w:sz w:val="16"/>
          <w:szCs w:val="16"/>
          <w:color w:val="auto"/>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corporate-level U.S. federal income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58" w:lineRule="exact"/>
        <w:rPr>
          <w:sz w:val="20"/>
          <w:szCs w:val="20"/>
          <w:color w:val="auto"/>
        </w:rPr>
      </w:pPr>
    </w:p>
    <w:p>
      <w:pPr>
        <w:jc w:val="both"/>
        <w:ind w:left="1260" w:right="679" w:firstLine="360"/>
        <w:spacing w:after="0" w:line="262" w:lineRule="auto"/>
        <w:rPr>
          <w:sz w:val="20"/>
          <w:szCs w:val="20"/>
          <w:color w:val="auto"/>
        </w:rPr>
      </w:pPr>
      <w:r>
        <w:rPr>
          <w:rFonts w:ascii="Arial" w:cs="Arial" w:eastAsia="Arial" w:hAnsi="Arial"/>
          <w:sz w:val="17"/>
          <w:szCs w:val="17"/>
          <w:color w:val="auto"/>
        </w:rPr>
        <w:t>Basic and diluted earnings/(loss) per common share is calculated using the weighted-average number of common shares outstanding for the period presented. For the years ended December 31, 2019, 2018 and 2017, basic and diluted earnings/(loss) per share were the same because there were no potentially dilutive securities outstanding. Per share data is based on the weighted-average shares outstanding.</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Distributions</w:t>
      </w:r>
    </w:p>
    <w:p>
      <w:pPr>
        <w:spacing w:after="0" w:line="144" w:lineRule="exact"/>
        <w:rPr>
          <w:sz w:val="20"/>
          <w:szCs w:val="20"/>
          <w:color w:val="auto"/>
        </w:rPr>
      </w:pPr>
    </w:p>
    <w:p>
      <w:pPr>
        <w:jc w:val="both"/>
        <w:ind w:left="1260" w:right="679" w:firstLine="360"/>
        <w:spacing w:after="0" w:line="290" w:lineRule="auto"/>
        <w:rPr>
          <w:sz w:val="20"/>
          <w:szCs w:val="20"/>
          <w:color w:val="auto"/>
        </w:rPr>
      </w:pPr>
      <w:r>
        <w:rPr>
          <w:rFonts w:ascii="Arial" w:cs="Arial" w:eastAsia="Arial" w:hAnsi="Arial"/>
          <w:sz w:val="16"/>
          <w:szCs w:val="16"/>
          <w:color w:val="auto"/>
        </w:rPr>
        <w:t>The Company generally intends to distribute, out of assets legally available for distribution, substantially all of its available earnings, on a quarterly basis, subject to the discretion of the Board of Directors. For the year ended December 31, 2019, the Company declared and paid dividends in the amount of $40,651,334 of which $8,192,547 was distributed in cash and the remainder distributed in shares to stockholders pursuant to the Company’s dividend reinvestment program. For the year ended December 31, 2018, the Company declared and paid dividends in the amount of $7,283,810 of which $1,428,498 was distributed in cash and the remainder distributed in shares to stockholders pursuant to the Company’s dividend reinvestment program. For the years ended December 31, 2017, the Company did not declare or pay any dividends or distributions.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158" w:lineRule="exact"/>
        <w:rPr>
          <w:sz w:val="20"/>
          <w:szCs w:val="20"/>
          <w:color w:val="auto"/>
        </w:rPr>
      </w:pPr>
    </w:p>
    <w:p>
      <w:pPr>
        <w:jc w:val="both"/>
        <w:ind w:left="1260" w:right="679" w:firstLine="360"/>
        <w:spacing w:after="0" w:line="296" w:lineRule="auto"/>
        <w:rPr>
          <w:sz w:val="20"/>
          <w:szCs w:val="20"/>
          <w:color w:val="auto"/>
        </w:rPr>
      </w:pPr>
      <w:r>
        <w:rPr>
          <w:rFonts w:ascii="Arial" w:cs="Arial" w:eastAsia="Arial" w:hAnsi="Arial"/>
          <w:sz w:val="16"/>
          <w:szCs w:val="16"/>
          <w:color w:val="auto"/>
        </w:rPr>
        <w:t>Organization costs include, among other things, the cost of organizing as a Maryland corporation, including the cost of legal services and other fees pertaining to our organization, all of which are expensed as incurred. Offering costs include, among other things, legal fees and other costs pertaining to the preparation of the Company’s private placement memorandum and other offering documents, including travel-related expenses related to the Initial Private Offering. Pursuant to the investment advisory agreement between the</w:t>
      </w:r>
    </w:p>
    <w:p>
      <w:pPr>
        <w:spacing w:after="0" w:line="33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jc w:val="both"/>
        <w:ind w:left="1260" w:right="679"/>
        <w:spacing w:after="0" w:line="238" w:lineRule="auto"/>
        <w:rPr>
          <w:sz w:val="20"/>
          <w:szCs w:val="20"/>
          <w:color w:val="auto"/>
        </w:rPr>
      </w:pPr>
      <w:r>
        <w:rPr>
          <w:rFonts w:ascii="Arial" w:cs="Arial" w:eastAsia="Arial" w:hAnsi="Arial"/>
          <w:sz w:val="18"/>
          <w:szCs w:val="18"/>
          <w:color w:val="auto"/>
        </w:rPr>
        <w:t>Company and RGC, as subsequently amended and restated (the “Amended Advisory Agreement”), the Company and RGC agreed that organization and offering costs incurred in connection with the Initial Private Offering would be borne by the Company up to a maximum amount of $1,000,000, provided that the amount of such costs in excess of $1,000,000 would be paid by RGC. As of December 31, 2016, the Company had already incurred the maximum amount of $1,000,000 in organization and offering costs incurred in connection with the Initial Private Offering. As a result, for the years ended December 31, 2019, December 31, 2018 and December 31, 2017, the Company did not incur any organization or offering expenses in connection with the Initial Private Offering.</w:t>
      </w:r>
    </w:p>
    <w:p>
      <w:pPr>
        <w:spacing w:after="0" w:line="113" w:lineRule="exact"/>
        <w:rPr>
          <w:sz w:val="20"/>
          <w:szCs w:val="20"/>
          <w:color w:val="auto"/>
        </w:rPr>
      </w:pPr>
    </w:p>
    <w:p>
      <w:pPr>
        <w:jc w:val="both"/>
        <w:ind w:left="1260" w:right="679" w:firstLine="360"/>
        <w:spacing w:after="0" w:line="255" w:lineRule="auto"/>
        <w:rPr>
          <w:sz w:val="20"/>
          <w:szCs w:val="20"/>
          <w:color w:val="auto"/>
        </w:rPr>
      </w:pPr>
      <w:r>
        <w:rPr>
          <w:rFonts w:ascii="Arial" w:cs="Arial" w:eastAsia="Arial" w:hAnsi="Arial"/>
          <w:sz w:val="17"/>
          <w:szCs w:val="17"/>
          <w:color w:val="auto"/>
        </w:rPr>
        <w:t>Offering costs related to new or follow on offerings will be accumulated and charged to additional paid in capital at the time of closing beginning in 2019. These offering costs are subject to a cap of $600,000, excluding placement agent fees which have no cap, of which the Company will bear the cost. As of December 31, 2019, the Company had accumulated and recorded $510,027 of deferred offering costs. As of December 31, 2019, $123,009 in placement agent fees had been incurred. As of December 31, 2018, no placement agent fees had been incurred. Under the terms of the Second Private Offering, offering costs in excess of $600,000, excluding placement agent fees, will be reimbursed by RGC.</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jc w:val="both"/>
        <w:ind w:left="1260" w:right="679" w:firstLine="360"/>
        <w:spacing w:after="0" w:line="23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 Changes to the Disclosure Requirements for Fair Value Measurement</w:t>
      </w:r>
      <w:r>
        <w:rPr>
          <w:rFonts w:ascii="Arial" w:cs="Arial" w:eastAsia="Arial" w:hAnsi="Arial"/>
          <w:sz w:val="18"/>
          <w:szCs w:val="18"/>
          <w:color w:val="auto"/>
        </w:rPr>
        <w:t>, which changes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financial statements, however the impact of the adoption is not expected to be material.</w:t>
      </w:r>
    </w:p>
    <w:p>
      <w:pPr>
        <w:spacing w:after="0" w:line="123" w:lineRule="exact"/>
        <w:rPr>
          <w:sz w:val="20"/>
          <w:szCs w:val="20"/>
          <w:color w:val="auto"/>
        </w:rPr>
      </w:pPr>
    </w:p>
    <w:p>
      <w:pPr>
        <w:jc w:val="both"/>
        <w:ind w:left="1260" w:right="659" w:firstLine="360"/>
        <w:spacing w:after="0" w:line="254" w:lineRule="auto"/>
        <w:rPr>
          <w:sz w:val="20"/>
          <w:szCs w:val="20"/>
          <w:color w:val="auto"/>
        </w:rPr>
      </w:pPr>
      <w:r>
        <w:rPr>
          <w:rFonts w:ascii="Arial" w:cs="Arial" w:eastAsia="Arial" w:hAnsi="Arial"/>
          <w:sz w:val="17"/>
          <w:szCs w:val="17"/>
          <w:color w:val="auto"/>
        </w:rPr>
        <w:t xml:space="preserve">In March 2019, the SEC issued Final Rule Release No. 33-10618, </w:t>
      </w:r>
      <w:r>
        <w:rPr>
          <w:rFonts w:ascii="Arial" w:cs="Arial" w:eastAsia="Arial" w:hAnsi="Arial"/>
          <w:sz w:val="17"/>
          <w:szCs w:val="17"/>
          <w:i w:val="1"/>
          <w:iCs w:val="1"/>
          <w:color w:val="auto"/>
        </w:rPr>
        <w:t>FAST Act Modernization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Simplification of Regulation S-K</w:t>
      </w:r>
      <w:r>
        <w:rPr>
          <w:rFonts w:ascii="Arial" w:cs="Arial" w:eastAsia="Arial" w:hAnsi="Arial"/>
          <w:sz w:val="17"/>
          <w:szCs w:val="17"/>
          <w:color w:val="auto"/>
        </w:rPr>
        <w:t>, which amends certain SEC disclosure requirements. The amendments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simplify certain disclosure requirements, improve readability and navigability of disclosure documents, and discourage repetition and disclosure of immaterial information. The amendments are effective for all filings submitted on or after May 2, 2019. The Company adopted the requisite amendments effective May 9, 2019. As it pertains to the Company for this Annual Report on Form 10-K, there were no significant changes to the Company’s financial position or disclosures. The Company is still evaluating the impact this amendment will have on its future periodic filings.</w:t>
      </w:r>
    </w:p>
    <w:p>
      <w:pPr>
        <w:spacing w:after="0" w:line="100"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to replace the incurred loss model for loans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with an expected loss model, which is referred to as the current expected credit loss (CECL) model. The CECL model is applicable to the measurement of credit losses on financial assets measured at amortized cost, including loan receivables and held-to maturity debt securities. It also applies to off-balance sheet credit exposures not accounted for as insurance (loan commitments, stand by letters of credit, financial guarantees, and other similar instruments) and net investments in certain leases recognized by a lessor. Effective January 1, 2020, the Company adopted ASU 2016-13 under a modified retrospective approach for all financial assets measured at amortized cost. There was no adjustment recorded to distributable losses for the cumulative effect of adopting ASU 2016-13 as amortized cost has approximated fair value.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Commitments and Contingencies</w:t>
      </w:r>
    </w:p>
    <w:p>
      <w:pPr>
        <w:spacing w:after="0" w:line="162" w:lineRule="exact"/>
        <w:rPr>
          <w:sz w:val="20"/>
          <w:szCs w:val="20"/>
          <w:color w:val="auto"/>
        </w:rPr>
      </w:pPr>
    </w:p>
    <w:p>
      <w:pPr>
        <w:jc w:val="both"/>
        <w:ind w:left="1260" w:right="679" w:firstLine="360"/>
        <w:spacing w:after="0" w:line="291" w:lineRule="auto"/>
        <w:rPr>
          <w:sz w:val="20"/>
          <w:szCs w:val="20"/>
          <w:color w:val="auto"/>
        </w:rPr>
      </w:pPr>
      <w:r>
        <w:rPr>
          <w:rFonts w:ascii="Arial" w:cs="Arial" w:eastAsia="Arial" w:hAnsi="Arial"/>
          <w:sz w:val="17"/>
          <w:szCs w:val="17"/>
          <w:color w:val="auto"/>
        </w:rPr>
        <w:t>In the normal course of business, the Company may enter into investment agreements under which it commits to make an investment in a portfolio company at some future date or over a specified period of time.</w:t>
      </w:r>
    </w:p>
    <w:p>
      <w:pPr>
        <w:spacing w:after="0" w:line="79" w:lineRule="exact"/>
        <w:rPr>
          <w:sz w:val="20"/>
          <w:szCs w:val="20"/>
          <w:color w:val="auto"/>
        </w:rPr>
      </w:pPr>
    </w:p>
    <w:p>
      <w:pPr>
        <w:jc w:val="both"/>
        <w:ind w:left="1260" w:right="679" w:firstLine="360"/>
        <w:spacing w:after="0" w:line="248" w:lineRule="auto"/>
        <w:rPr>
          <w:sz w:val="20"/>
          <w:szCs w:val="20"/>
          <w:color w:val="auto"/>
        </w:rPr>
      </w:pPr>
      <w:r>
        <w:rPr>
          <w:rFonts w:ascii="Arial" w:cs="Arial" w:eastAsia="Arial" w:hAnsi="Arial"/>
          <w:sz w:val="18"/>
          <w:szCs w:val="18"/>
          <w:color w:val="auto"/>
        </w:rPr>
        <w:t>At December 31, 2019, the Company had $40,000,000 in unfunded loan commitments to provide debt financing to its portfolio companies. The balance of unfunded commitments to extend financing as of December 31, 2019 was as follows:</w:t>
      </w:r>
    </w:p>
    <w:p>
      <w:pPr>
        <w:spacing w:after="0" w:line="3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160" w:type="dxa"/>
            <w:vAlign w:val="bottom"/>
          </w:tcPr>
          <w:p>
            <w:pPr>
              <w:spacing w:after="0"/>
              <w:rPr>
                <w:sz w:val="20"/>
                <w:szCs w:val="20"/>
                <w:color w:val="auto"/>
              </w:rPr>
            </w:pPr>
            <w:r>
              <w:rPr>
                <w:rFonts w:ascii="Arial" w:cs="Arial" w:eastAsia="Arial" w:hAnsi="Arial"/>
                <w:sz w:val="14"/>
                <w:szCs w:val="14"/>
                <w:b w:val="1"/>
                <w:bCs w:val="1"/>
                <w:color w:val="auto"/>
              </w:rPr>
              <w:t>Portfolio Company</w:t>
            </w:r>
          </w:p>
        </w:tc>
        <w:tc>
          <w:tcPr>
            <w:tcW w:w="220" w:type="dxa"/>
            <w:vAlign w:val="bottom"/>
          </w:tcPr>
          <w:p>
            <w:pPr>
              <w:spacing w:after="0"/>
              <w:rPr>
                <w:sz w:val="16"/>
                <w:szCs w:val="16"/>
                <w:color w:val="auto"/>
              </w:rPr>
            </w:pPr>
          </w:p>
        </w:tc>
        <w:tc>
          <w:tcPr>
            <w:tcW w:w="3460" w:type="dxa"/>
            <w:vAlign w:val="bottom"/>
          </w:tcPr>
          <w:p>
            <w:pPr>
              <w:ind w:left="1220"/>
              <w:spacing w:after="0"/>
              <w:rPr>
                <w:sz w:val="20"/>
                <w:szCs w:val="20"/>
                <w:color w:val="auto"/>
              </w:rPr>
            </w:pPr>
            <w:r>
              <w:rPr>
                <w:rFonts w:ascii="Arial" w:cs="Arial" w:eastAsia="Arial" w:hAnsi="Arial"/>
                <w:sz w:val="14"/>
                <w:szCs w:val="14"/>
                <w:b w:val="1"/>
                <w:bCs w:val="1"/>
                <w:color w:val="auto"/>
              </w:rPr>
              <w:t>Investment Type</w:t>
            </w:r>
          </w:p>
        </w:tc>
        <w:tc>
          <w:tcPr>
            <w:tcW w:w="1380" w:type="dxa"/>
            <w:vAlign w:val="bottom"/>
            <w:gridSpan w:val="4"/>
          </w:tcPr>
          <w:p>
            <w:pPr>
              <w:ind w:left="200"/>
              <w:spacing w:after="0"/>
              <w:rPr>
                <w:sz w:val="20"/>
                <w:szCs w:val="20"/>
                <w:color w:val="auto"/>
              </w:rPr>
            </w:pPr>
            <w:r>
              <w:rPr>
                <w:rFonts w:ascii="Arial" w:cs="Arial" w:eastAsia="Arial" w:hAnsi="Arial"/>
                <w:sz w:val="14"/>
                <w:szCs w:val="14"/>
                <w:b w:val="1"/>
                <w:bCs w:val="1"/>
                <w:color w:val="auto"/>
                <w:w w:val="91"/>
              </w:rPr>
              <w:t>December 31, 2019</w:t>
            </w:r>
          </w:p>
        </w:tc>
      </w:tr>
      <w:tr>
        <w:trPr>
          <w:trHeight w:val="26"/>
        </w:trPr>
        <w:tc>
          <w:tcPr>
            <w:tcW w:w="3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Aria Systems, Inc.</w:t>
            </w: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Secured Term Loan</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$ 2,500,000</w:t>
            </w:r>
          </w:p>
        </w:tc>
        <w:tc>
          <w:tcPr>
            <w:tcW w:w="140" w:type="dxa"/>
            <w:vAlign w:val="bottom"/>
            <w:shd w:val="clear" w:color="auto" w:fill="CCEEFF"/>
          </w:tcPr>
          <w:p>
            <w:pPr>
              <w:spacing w:after="0"/>
              <w:rPr>
                <w:sz w:val="21"/>
                <w:szCs w:val="21"/>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Brilliant Earth, LLC</w:t>
            </w: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Senior Secured Term Loan</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22"/>
                <w:szCs w:val="22"/>
                <w:color w:val="auto"/>
              </w:rPr>
            </w:pPr>
          </w:p>
        </w:tc>
      </w:tr>
      <w:tr>
        <w:trPr>
          <w:trHeight w:val="257"/>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CloudPassage, Inc.</w:t>
            </w: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Secured Term Loan</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40" w:type="dxa"/>
            <w:vAlign w:val="bottom"/>
            <w:shd w:val="clear" w:color="auto" w:fill="CCEEFF"/>
          </w:tcPr>
          <w:p>
            <w:pPr>
              <w:spacing w:after="0"/>
              <w:rPr>
                <w:sz w:val="22"/>
                <w:szCs w:val="22"/>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Dejero Labs, Inc.</w:t>
            </w: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Senior Secured Term Loan</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4,000,000</w:t>
            </w:r>
          </w:p>
        </w:tc>
        <w:tc>
          <w:tcPr>
            <w:tcW w:w="140" w:type="dxa"/>
            <w:vAlign w:val="bottom"/>
          </w:tcPr>
          <w:p>
            <w:pPr>
              <w:spacing w:after="0"/>
              <w:rPr>
                <w:sz w:val="22"/>
                <w:szCs w:val="22"/>
                <w:color w:val="auto"/>
              </w:rPr>
            </w:pPr>
          </w:p>
        </w:tc>
      </w:tr>
      <w:tr>
        <w:trPr>
          <w:trHeight w:val="257"/>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Dtex Systems, Inc.</w:t>
            </w: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Secured Term Loan</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140" w:type="dxa"/>
            <w:vAlign w:val="bottom"/>
            <w:shd w:val="clear" w:color="auto" w:fill="CCEEFF"/>
          </w:tcPr>
          <w:p>
            <w:pPr>
              <w:spacing w:after="0"/>
              <w:rPr>
                <w:sz w:val="22"/>
                <w:szCs w:val="22"/>
                <w:color w:val="auto"/>
              </w:rPr>
            </w:pPr>
          </w:p>
        </w:tc>
      </w:tr>
      <w:tr>
        <w:trPr>
          <w:trHeight w:val="256"/>
        </w:trPr>
        <w:tc>
          <w:tcPr>
            <w:tcW w:w="3160" w:type="dxa"/>
            <w:vAlign w:val="bottom"/>
          </w:tcPr>
          <w:p>
            <w:pPr>
              <w:spacing w:after="0"/>
              <w:rPr>
                <w:sz w:val="20"/>
                <w:szCs w:val="20"/>
                <w:color w:val="auto"/>
              </w:rPr>
            </w:pPr>
            <w:r>
              <w:rPr>
                <w:rFonts w:ascii="Arial" w:cs="Arial" w:eastAsia="Arial" w:hAnsi="Arial"/>
                <w:sz w:val="18"/>
                <w:szCs w:val="18"/>
                <w:color w:val="auto"/>
              </w:rPr>
              <w:t>eSilicon Corporation</w:t>
            </w: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Revolving Line</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22"/>
                <w:szCs w:val="22"/>
                <w:color w:val="auto"/>
              </w:rPr>
            </w:pPr>
          </w:p>
        </w:tc>
      </w:tr>
      <w:tr>
        <w:trPr>
          <w:trHeight w:val="257"/>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INRIX, Inc.</w:t>
            </w: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Secured Term Loan</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140" w:type="dxa"/>
            <w:vAlign w:val="bottom"/>
            <w:shd w:val="clear" w:color="auto" w:fill="CCEEFF"/>
          </w:tcPr>
          <w:p>
            <w:pPr>
              <w:spacing w:after="0"/>
              <w:rPr>
                <w:sz w:val="22"/>
                <w:szCs w:val="22"/>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Longtail Ad Solutions, Inc. (dba JW</w:t>
            </w: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8"/>
                <w:szCs w:val="18"/>
                <w:color w:val="auto"/>
              </w:rPr>
              <w:t>Player)</w:t>
            </w: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Senior Secured Term Loan</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20"/>
                <w:szCs w:val="20"/>
                <w:color w:val="auto"/>
              </w:rPr>
            </w:pPr>
          </w:p>
        </w:tc>
      </w:tr>
      <w:tr>
        <w:trPr>
          <w:trHeight w:val="284"/>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Massdrop, Inc.</w:t>
            </w:r>
          </w:p>
        </w:tc>
        <w:tc>
          <w:tcPr>
            <w:tcW w:w="3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Senior Secured Term Loan</w:t>
            </w:r>
          </w:p>
        </w:tc>
        <w:tc>
          <w:tcPr>
            <w:tcW w:w="340" w:type="dxa"/>
            <w:vAlign w:val="bottom"/>
            <w:tcBorders>
              <w:bottom w:val="single" w:sz="8" w:color="CCEEFF"/>
            </w:tcBorders>
            <w:gridSpan w:val="2"/>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77"/>
        </w:trPr>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$40,000,000</w:t>
            </w:r>
          </w:p>
        </w:tc>
        <w:tc>
          <w:tcPr>
            <w:tcW w:w="140" w:type="dxa"/>
            <w:vAlign w:val="bottom"/>
          </w:tcPr>
          <w:p>
            <w:pPr>
              <w:spacing w:after="0"/>
              <w:rPr>
                <w:sz w:val="24"/>
                <w:szCs w:val="24"/>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-1842770</wp:posOffset>
            </wp:positionV>
            <wp:extent cx="1371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-1842770</wp:posOffset>
            </wp:positionV>
            <wp:extent cx="1371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8" w:lineRule="exact"/>
        <w:rPr>
          <w:sz w:val="20"/>
          <w:szCs w:val="20"/>
          <w:color w:val="auto"/>
        </w:rPr>
      </w:pPr>
    </w:p>
    <w:p>
      <w:pPr>
        <w:jc w:val="both"/>
        <w:ind w:left="1260" w:right="679" w:firstLine="360"/>
        <w:spacing w:after="0" w:line="235" w:lineRule="auto"/>
        <w:rPr>
          <w:sz w:val="20"/>
          <w:szCs w:val="20"/>
          <w:color w:val="auto"/>
        </w:rPr>
      </w:pPr>
      <w:r>
        <w:rPr>
          <w:rFonts w:ascii="Arial" w:cs="Arial" w:eastAsia="Arial" w:hAnsi="Arial"/>
          <w:sz w:val="18"/>
          <w:szCs w:val="18"/>
          <w:color w:val="auto"/>
        </w:rPr>
        <w:t>At December 31, 2018, the Company had $41,250,000 in unfunded loan commitments to provide debt financing to its portfolio companies. The balance of unfunded commitments to extend financing as of December 31, 2018 was as follows:</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160" w:type="dxa"/>
            <w:vAlign w:val="bottom"/>
          </w:tcPr>
          <w:p>
            <w:pPr>
              <w:spacing w:after="0"/>
              <w:rPr>
                <w:sz w:val="20"/>
                <w:szCs w:val="20"/>
                <w:color w:val="auto"/>
              </w:rPr>
            </w:pPr>
            <w:r>
              <w:rPr>
                <w:rFonts w:ascii="Arial" w:cs="Arial" w:eastAsia="Arial" w:hAnsi="Arial"/>
                <w:sz w:val="14"/>
                <w:szCs w:val="14"/>
                <w:b w:val="1"/>
                <w:bCs w:val="1"/>
                <w:color w:val="auto"/>
              </w:rPr>
              <w:t>Portfolio Company</w:t>
            </w:r>
          </w:p>
        </w:tc>
        <w:tc>
          <w:tcPr>
            <w:tcW w:w="220" w:type="dxa"/>
            <w:vAlign w:val="bottom"/>
          </w:tcPr>
          <w:p>
            <w:pPr>
              <w:spacing w:after="0"/>
              <w:rPr>
                <w:sz w:val="16"/>
                <w:szCs w:val="16"/>
                <w:color w:val="auto"/>
              </w:rPr>
            </w:pPr>
          </w:p>
        </w:tc>
        <w:tc>
          <w:tcPr>
            <w:tcW w:w="3460" w:type="dxa"/>
            <w:vAlign w:val="bottom"/>
          </w:tcPr>
          <w:p>
            <w:pPr>
              <w:ind w:left="1220"/>
              <w:spacing w:after="0"/>
              <w:rPr>
                <w:sz w:val="20"/>
                <w:szCs w:val="20"/>
                <w:color w:val="auto"/>
              </w:rPr>
            </w:pPr>
            <w:r>
              <w:rPr>
                <w:rFonts w:ascii="Arial" w:cs="Arial" w:eastAsia="Arial" w:hAnsi="Arial"/>
                <w:sz w:val="14"/>
                <w:szCs w:val="14"/>
                <w:b w:val="1"/>
                <w:bCs w:val="1"/>
                <w:color w:val="auto"/>
              </w:rPr>
              <w:t>Investment Type</w:t>
            </w:r>
          </w:p>
        </w:tc>
        <w:tc>
          <w:tcPr>
            <w:tcW w:w="1380" w:type="dxa"/>
            <w:vAlign w:val="bottom"/>
            <w:gridSpan w:val="4"/>
          </w:tcPr>
          <w:p>
            <w:pPr>
              <w:ind w:left="200"/>
              <w:spacing w:after="0"/>
              <w:rPr>
                <w:sz w:val="20"/>
                <w:szCs w:val="20"/>
                <w:color w:val="auto"/>
              </w:rPr>
            </w:pPr>
            <w:r>
              <w:rPr>
                <w:rFonts w:ascii="Arial" w:cs="Arial" w:eastAsia="Arial" w:hAnsi="Arial"/>
                <w:sz w:val="14"/>
                <w:szCs w:val="14"/>
                <w:b w:val="1"/>
                <w:bCs w:val="1"/>
                <w:color w:val="auto"/>
                <w:w w:val="91"/>
              </w:rPr>
              <w:t>December 31, 2018</w:t>
            </w:r>
          </w:p>
        </w:tc>
      </w:tr>
      <w:tr>
        <w:trPr>
          <w:trHeight w:val="26"/>
        </w:trPr>
        <w:tc>
          <w:tcPr>
            <w:tcW w:w="3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Aginity, Inc.</w:t>
            </w: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Secured Term Loan</w:t>
            </w:r>
          </w:p>
        </w:tc>
        <w:tc>
          <w:tcPr>
            <w:tcW w:w="12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2"/>
              </w:rPr>
              <w:t>$ 7,000,000</w:t>
            </w:r>
          </w:p>
        </w:tc>
        <w:tc>
          <w:tcPr>
            <w:tcW w:w="140" w:type="dxa"/>
            <w:vAlign w:val="bottom"/>
            <w:shd w:val="clear" w:color="auto" w:fill="CCEEFF"/>
          </w:tcPr>
          <w:p>
            <w:pPr>
              <w:spacing w:after="0"/>
              <w:rPr>
                <w:sz w:val="21"/>
                <w:szCs w:val="21"/>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Aria Systems, Inc.</w:t>
            </w: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Senior Secured Term Loan</w:t>
            </w:r>
          </w:p>
        </w:tc>
        <w:tc>
          <w:tcPr>
            <w:tcW w:w="1240" w:type="dxa"/>
            <w:vAlign w:val="bottom"/>
            <w:gridSpan w:val="3"/>
          </w:tcPr>
          <w:p>
            <w:pPr>
              <w:jc w:val="center"/>
              <w:ind w:left="332"/>
              <w:spacing w:after="0"/>
              <w:rPr>
                <w:sz w:val="20"/>
                <w:szCs w:val="20"/>
                <w:color w:val="auto"/>
              </w:rPr>
            </w:pPr>
            <w:r>
              <w:rPr>
                <w:rFonts w:ascii="Arial" w:cs="Arial" w:eastAsia="Arial" w:hAnsi="Arial"/>
                <w:sz w:val="18"/>
                <w:szCs w:val="18"/>
                <w:color w:val="auto"/>
                <w:w w:val="87"/>
              </w:rPr>
              <w:t>5,000,000</w:t>
            </w:r>
          </w:p>
        </w:tc>
        <w:tc>
          <w:tcPr>
            <w:tcW w:w="140" w:type="dxa"/>
            <w:vAlign w:val="bottom"/>
          </w:tcPr>
          <w:p>
            <w:pPr>
              <w:spacing w:after="0"/>
              <w:rPr>
                <w:sz w:val="22"/>
                <w:szCs w:val="22"/>
                <w:color w:val="auto"/>
              </w:rPr>
            </w:pPr>
          </w:p>
        </w:tc>
      </w:tr>
      <w:tr>
        <w:trPr>
          <w:trHeight w:val="25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Drawbridge, Inc.</w:t>
            </w: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Secured Term Loan</w:t>
            </w:r>
          </w:p>
        </w:tc>
        <w:tc>
          <w:tcPr>
            <w:tcW w:w="1240" w:type="dxa"/>
            <w:vAlign w:val="bottom"/>
            <w:gridSpan w:val="3"/>
            <w:shd w:val="clear" w:color="auto" w:fill="CCEEFF"/>
          </w:tcPr>
          <w:p>
            <w:pPr>
              <w:jc w:val="center"/>
              <w:ind w:left="332"/>
              <w:spacing w:after="0"/>
              <w:rPr>
                <w:sz w:val="20"/>
                <w:szCs w:val="20"/>
                <w:color w:val="auto"/>
              </w:rPr>
            </w:pPr>
            <w:r>
              <w:rPr>
                <w:rFonts w:ascii="Arial" w:cs="Arial" w:eastAsia="Arial" w:hAnsi="Arial"/>
                <w:sz w:val="18"/>
                <w:szCs w:val="18"/>
                <w:color w:val="auto"/>
                <w:w w:val="87"/>
              </w:rPr>
              <w:t>3,000,000</w:t>
            </w:r>
          </w:p>
        </w:tc>
        <w:tc>
          <w:tcPr>
            <w:tcW w:w="140" w:type="dxa"/>
            <w:vAlign w:val="bottom"/>
            <w:shd w:val="clear" w:color="auto" w:fill="CCEEFF"/>
          </w:tcPr>
          <w:p>
            <w:pPr>
              <w:spacing w:after="0"/>
              <w:rPr>
                <w:sz w:val="22"/>
                <w:szCs w:val="22"/>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Dtex Systems, Inc.</w:t>
            </w: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Senior Secured Term Loan</w:t>
            </w:r>
          </w:p>
        </w:tc>
        <w:tc>
          <w:tcPr>
            <w:tcW w:w="1240" w:type="dxa"/>
            <w:vAlign w:val="bottom"/>
            <w:gridSpan w:val="3"/>
          </w:tcPr>
          <w:p>
            <w:pPr>
              <w:jc w:val="center"/>
              <w:ind w:left="332"/>
              <w:spacing w:after="0"/>
              <w:rPr>
                <w:sz w:val="20"/>
                <w:szCs w:val="20"/>
                <w:color w:val="auto"/>
              </w:rPr>
            </w:pPr>
            <w:r>
              <w:rPr>
                <w:rFonts w:ascii="Arial" w:cs="Arial" w:eastAsia="Arial" w:hAnsi="Arial"/>
                <w:sz w:val="18"/>
                <w:szCs w:val="18"/>
                <w:color w:val="auto"/>
                <w:w w:val="87"/>
              </w:rPr>
              <w:t>7,000,000</w:t>
            </w:r>
          </w:p>
        </w:tc>
        <w:tc>
          <w:tcPr>
            <w:tcW w:w="140" w:type="dxa"/>
            <w:vAlign w:val="bottom"/>
          </w:tcPr>
          <w:p>
            <w:pPr>
              <w:spacing w:after="0"/>
              <w:rPr>
                <w:sz w:val="22"/>
                <w:szCs w:val="22"/>
                <w:color w:val="auto"/>
              </w:rPr>
            </w:pPr>
          </w:p>
        </w:tc>
      </w:tr>
      <w:tr>
        <w:trPr>
          <w:trHeight w:val="25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Mobius Imaging, LLC</w:t>
            </w: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Secured Term Loan</w:t>
            </w:r>
          </w:p>
        </w:tc>
        <w:tc>
          <w:tcPr>
            <w:tcW w:w="1240" w:type="dxa"/>
            <w:vAlign w:val="bottom"/>
            <w:gridSpan w:val="3"/>
            <w:shd w:val="clear" w:color="auto" w:fill="CCEEFF"/>
          </w:tcPr>
          <w:p>
            <w:pPr>
              <w:jc w:val="center"/>
              <w:ind w:left="332"/>
              <w:spacing w:after="0"/>
              <w:rPr>
                <w:sz w:val="20"/>
                <w:szCs w:val="20"/>
                <w:color w:val="auto"/>
              </w:rPr>
            </w:pPr>
            <w:r>
              <w:rPr>
                <w:rFonts w:ascii="Arial" w:cs="Arial" w:eastAsia="Arial" w:hAnsi="Arial"/>
                <w:sz w:val="18"/>
                <w:szCs w:val="18"/>
                <w:color w:val="auto"/>
                <w:w w:val="87"/>
              </w:rPr>
              <w:t>4,500,000</w:t>
            </w:r>
          </w:p>
        </w:tc>
        <w:tc>
          <w:tcPr>
            <w:tcW w:w="140" w:type="dxa"/>
            <w:vAlign w:val="bottom"/>
            <w:shd w:val="clear" w:color="auto" w:fill="CCEEFF"/>
          </w:tcPr>
          <w:p>
            <w:pPr>
              <w:spacing w:after="0"/>
              <w:rPr>
                <w:sz w:val="22"/>
                <w:szCs w:val="22"/>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Mojix, Inc.</w:t>
            </w: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Senior Secured Term Loan</w:t>
            </w:r>
          </w:p>
        </w:tc>
        <w:tc>
          <w:tcPr>
            <w:tcW w:w="1240" w:type="dxa"/>
            <w:vAlign w:val="bottom"/>
            <w:gridSpan w:val="3"/>
          </w:tcPr>
          <w:p>
            <w:pPr>
              <w:jc w:val="center"/>
              <w:ind w:left="332"/>
              <w:spacing w:after="0"/>
              <w:rPr>
                <w:sz w:val="20"/>
                <w:szCs w:val="20"/>
                <w:color w:val="auto"/>
              </w:rPr>
            </w:pPr>
            <w:r>
              <w:rPr>
                <w:rFonts w:ascii="Arial" w:cs="Arial" w:eastAsia="Arial" w:hAnsi="Arial"/>
                <w:sz w:val="18"/>
                <w:szCs w:val="18"/>
                <w:color w:val="auto"/>
                <w:w w:val="87"/>
              </w:rPr>
              <w:t>1,000,000</w:t>
            </w:r>
          </w:p>
        </w:tc>
        <w:tc>
          <w:tcPr>
            <w:tcW w:w="140" w:type="dxa"/>
            <w:vAlign w:val="bottom"/>
          </w:tcPr>
          <w:p>
            <w:pPr>
              <w:spacing w:after="0"/>
              <w:rPr>
                <w:sz w:val="22"/>
                <w:szCs w:val="22"/>
                <w:color w:val="auto"/>
              </w:rPr>
            </w:pPr>
          </w:p>
        </w:tc>
      </w:tr>
      <w:tr>
        <w:trPr>
          <w:trHeight w:val="25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3DNA Corp.(dba NationBuilder, Inc.)</w:t>
            </w: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Secured Term Loan</w:t>
            </w:r>
          </w:p>
        </w:tc>
        <w:tc>
          <w:tcPr>
            <w:tcW w:w="1240" w:type="dxa"/>
            <w:vAlign w:val="bottom"/>
            <w:gridSpan w:val="3"/>
            <w:shd w:val="clear" w:color="auto" w:fill="CCEEFF"/>
          </w:tcPr>
          <w:p>
            <w:pPr>
              <w:jc w:val="center"/>
              <w:ind w:left="332"/>
              <w:spacing w:after="0"/>
              <w:rPr>
                <w:sz w:val="20"/>
                <w:szCs w:val="20"/>
                <w:color w:val="auto"/>
              </w:rPr>
            </w:pPr>
            <w:r>
              <w:rPr>
                <w:rFonts w:ascii="Arial" w:cs="Arial" w:eastAsia="Arial" w:hAnsi="Arial"/>
                <w:sz w:val="18"/>
                <w:szCs w:val="18"/>
                <w:color w:val="auto"/>
                <w:w w:val="87"/>
              </w:rPr>
              <w:t>3,000,000</w:t>
            </w:r>
          </w:p>
        </w:tc>
        <w:tc>
          <w:tcPr>
            <w:tcW w:w="140" w:type="dxa"/>
            <w:vAlign w:val="bottom"/>
            <w:shd w:val="clear" w:color="auto" w:fill="CCEEFF"/>
          </w:tcPr>
          <w:p>
            <w:pPr>
              <w:spacing w:after="0"/>
              <w:rPr>
                <w:sz w:val="22"/>
                <w:szCs w:val="22"/>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Ouster, Inc.</w:t>
            </w: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Senior Secured Term Loan</w:t>
            </w:r>
          </w:p>
        </w:tc>
        <w:tc>
          <w:tcPr>
            <w:tcW w:w="1240" w:type="dxa"/>
            <w:vAlign w:val="bottom"/>
            <w:gridSpan w:val="3"/>
          </w:tcPr>
          <w:p>
            <w:pPr>
              <w:jc w:val="center"/>
              <w:ind w:left="332"/>
              <w:spacing w:after="0"/>
              <w:rPr>
                <w:sz w:val="20"/>
                <w:szCs w:val="20"/>
                <w:color w:val="auto"/>
              </w:rPr>
            </w:pPr>
            <w:r>
              <w:rPr>
                <w:rFonts w:ascii="Arial" w:cs="Arial" w:eastAsia="Arial" w:hAnsi="Arial"/>
                <w:sz w:val="18"/>
                <w:szCs w:val="18"/>
                <w:color w:val="auto"/>
                <w:w w:val="90"/>
              </w:rPr>
              <w:t>10,000,000</w:t>
            </w:r>
          </w:p>
        </w:tc>
        <w:tc>
          <w:tcPr>
            <w:tcW w:w="140" w:type="dxa"/>
            <w:vAlign w:val="bottom"/>
          </w:tcPr>
          <w:p>
            <w:pPr>
              <w:spacing w:after="0"/>
              <w:rPr>
                <w:sz w:val="22"/>
                <w:szCs w:val="22"/>
                <w:color w:val="auto"/>
              </w:rPr>
            </w:pPr>
          </w:p>
        </w:tc>
      </w:tr>
      <w:tr>
        <w:trPr>
          <w:trHeight w:val="277"/>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ShareThis, Inc.</w:t>
            </w:r>
          </w:p>
        </w:tc>
        <w:tc>
          <w:tcPr>
            <w:tcW w:w="3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Senior Secured Term Loan</w:t>
            </w:r>
          </w:p>
        </w:tc>
        <w:tc>
          <w:tcPr>
            <w:tcW w:w="340" w:type="dxa"/>
            <w:vAlign w:val="bottom"/>
            <w:tcBorders>
              <w:bottom w:val="single" w:sz="8" w:color="CCEEFF"/>
            </w:tcBorders>
            <w:gridSpan w:val="2"/>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750,000</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77"/>
        </w:trPr>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1240" w:type="dxa"/>
            <w:vAlign w:val="bottom"/>
            <w:gridSpan w:val="3"/>
          </w:tcPr>
          <w:p>
            <w:pPr>
              <w:ind w:left="340"/>
              <w:spacing w:after="0"/>
              <w:rPr>
                <w:sz w:val="20"/>
                <w:szCs w:val="20"/>
                <w:color w:val="auto"/>
              </w:rPr>
            </w:pPr>
            <w:r>
              <w:rPr>
                <w:rFonts w:ascii="Arial" w:cs="Arial" w:eastAsia="Arial" w:hAnsi="Arial"/>
                <w:sz w:val="18"/>
                <w:szCs w:val="18"/>
                <w:color w:val="auto"/>
                <w:w w:val="87"/>
              </w:rPr>
              <w:t>$41,250,000</w:t>
            </w:r>
          </w:p>
        </w:tc>
        <w:tc>
          <w:tcPr>
            <w:tcW w:w="140" w:type="dxa"/>
            <w:vAlign w:val="bottom"/>
          </w:tcPr>
          <w:p>
            <w:pPr>
              <w:spacing w:after="0"/>
              <w:rPr>
                <w:sz w:val="24"/>
                <w:szCs w:val="24"/>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-1704975</wp:posOffset>
            </wp:positionV>
            <wp:extent cx="137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-1704975</wp:posOffset>
            </wp:positionV>
            <wp:extent cx="137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8" w:lineRule="exact"/>
        <w:rPr>
          <w:sz w:val="20"/>
          <w:szCs w:val="20"/>
          <w:color w:val="auto"/>
        </w:rPr>
      </w:pPr>
    </w:p>
    <w:p>
      <w:pPr>
        <w:jc w:val="both"/>
        <w:ind w:left="1260" w:right="679" w:firstLine="360"/>
        <w:spacing w:after="0" w:line="228" w:lineRule="auto"/>
        <w:rPr>
          <w:sz w:val="20"/>
          <w:szCs w:val="20"/>
          <w:color w:val="auto"/>
        </w:rPr>
      </w:pPr>
      <w:r>
        <w:rPr>
          <w:rFonts w:ascii="Arial" w:cs="Arial" w:eastAsia="Arial" w:hAnsi="Arial"/>
          <w:sz w:val="18"/>
          <w:szCs w:val="18"/>
          <w:color w:val="auto"/>
        </w:rPr>
        <w:t>The Company’s management believes that its available cash balances, availability under the Credit Agreement and/or ability to drawdown capital from investors provides sufficient funds to cover its unfunded commitments as of December 31, 2019. The Company has evaluated the expected net future cash flows related to unfunded commitments and determined the fair value to be zero as of December 31, 2019 and December 31, 2018.</w:t>
      </w:r>
    </w:p>
    <w:p>
      <w:pPr>
        <w:spacing w:after="0" w:line="124" w:lineRule="exact"/>
        <w:rPr>
          <w:sz w:val="20"/>
          <w:szCs w:val="20"/>
          <w:color w:val="auto"/>
        </w:rPr>
      </w:pPr>
    </w:p>
    <w:p>
      <w:pPr>
        <w:jc w:val="both"/>
        <w:ind w:left="1260" w:right="679" w:firstLine="360"/>
        <w:spacing w:after="0"/>
        <w:rPr>
          <w:sz w:val="20"/>
          <w:szCs w:val="20"/>
          <w:color w:val="auto"/>
        </w:rPr>
      </w:pPr>
      <w:r>
        <w:rPr>
          <w:rFonts w:ascii="Arial" w:cs="Arial" w:eastAsia="Arial" w:hAnsi="Arial"/>
          <w:sz w:val="18"/>
          <w:szCs w:val="18"/>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Concentration of Credit Risk</w:t>
      </w:r>
    </w:p>
    <w:p>
      <w:pPr>
        <w:spacing w:after="0" w:line="148" w:lineRule="exact"/>
        <w:rPr>
          <w:sz w:val="20"/>
          <w:szCs w:val="20"/>
          <w:color w:val="auto"/>
        </w:rPr>
      </w:pPr>
    </w:p>
    <w:p>
      <w:pPr>
        <w:jc w:val="both"/>
        <w:ind w:left="1260" w:right="679" w:firstLine="360"/>
        <w:spacing w:after="0" w:line="241" w:lineRule="auto"/>
        <w:rPr>
          <w:sz w:val="20"/>
          <w:szCs w:val="20"/>
          <w:color w:val="auto"/>
        </w:rPr>
      </w:pPr>
      <w:r>
        <w:rPr>
          <w:rFonts w:ascii="Arial" w:cs="Arial" w:eastAsia="Arial" w:hAnsi="Arial"/>
          <w:sz w:val="18"/>
          <w:szCs w:val="18"/>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Management monitors the financial condition of those financial institutions and does not currently anticipate any losses from these counterparties.</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Net Increase/(Decrease) in Net Assets Resulting from Operations per Common Share</w:t>
      </w:r>
    </w:p>
    <w:p>
      <w:pPr>
        <w:spacing w:after="0" w:line="148" w:lineRule="exact"/>
        <w:rPr>
          <w:sz w:val="20"/>
          <w:szCs w:val="20"/>
          <w:color w:val="auto"/>
        </w:rPr>
      </w:pPr>
    </w:p>
    <w:p>
      <w:pPr>
        <w:jc w:val="both"/>
        <w:ind w:left="1260" w:right="679" w:firstLine="360"/>
        <w:spacing w:after="0" w:line="261" w:lineRule="auto"/>
        <w:rPr>
          <w:sz w:val="20"/>
          <w:szCs w:val="20"/>
          <w:color w:val="auto"/>
        </w:rPr>
      </w:pPr>
      <w:r>
        <w:rPr>
          <w:rFonts w:ascii="Arial" w:cs="Arial" w:eastAsia="Arial" w:hAnsi="Arial"/>
          <w:sz w:val="18"/>
          <w:szCs w:val="18"/>
          <w:color w:val="auto"/>
        </w:rPr>
        <w:t>The following information sets forth the computation of basic income/losses per common share for the years ended December 31, 2019, 2018 and 2017:</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Year Ended</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Year Ended</w:t>
            </w: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Year Ended</w:t>
            </w:r>
          </w:p>
        </w:tc>
      </w:tr>
      <w:tr>
        <w:trPr>
          <w:trHeight w:val="162"/>
        </w:trPr>
        <w:tc>
          <w:tcPr>
            <w:tcW w:w="19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r>
      <w:tr>
        <w:trPr>
          <w:trHeight w:val="186"/>
        </w:trPr>
        <w:tc>
          <w:tcPr>
            <w:tcW w:w="19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53"/>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6"/>
                <w:szCs w:val="16"/>
                <w:color w:val="auto"/>
              </w:rPr>
            </w:pPr>
          </w:p>
        </w:tc>
      </w:tr>
      <w:tr>
        <w:trPr>
          <w:trHeight w:val="26"/>
        </w:trPr>
        <w:tc>
          <w:tcPr>
            <w:tcW w:w="19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r>
      <w:tr>
        <w:trPr>
          <w:trHeight w:val="250"/>
        </w:trPr>
        <w:tc>
          <w:tcPr>
            <w:tcW w:w="5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27,646,400</w:t>
            </w: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11,757,516</w:t>
            </w:r>
          </w:p>
        </w:tc>
        <w:tc>
          <w:tcPr>
            <w:tcW w:w="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(1,436,295)</w:t>
            </w:r>
          </w:p>
        </w:tc>
        <w:tc>
          <w:tcPr>
            <w:tcW w:w="60" w:type="dxa"/>
            <w:vAlign w:val="bottom"/>
          </w:tcPr>
          <w:p>
            <w:pPr>
              <w:spacing w:after="0"/>
              <w:rPr>
                <w:sz w:val="21"/>
                <w:szCs w:val="21"/>
                <w:color w:val="auto"/>
              </w:rPr>
            </w:pPr>
          </w:p>
        </w:tc>
      </w:tr>
      <w:tr>
        <w:trPr>
          <w:trHeight w:val="378"/>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r>
              <w:rPr>
                <w:rFonts w:ascii="Arial" w:cs="Arial" w:eastAsia="Arial" w:hAnsi="Arial"/>
                <w:sz w:val="26"/>
                <w:szCs w:val="26"/>
                <w:b w:val="1"/>
                <w:bCs w:val="1"/>
                <w:color w:val="auto"/>
                <w:vertAlign w:val="superscript"/>
              </w:rPr>
              <w:t>(1)</w:t>
            </w: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 for period</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18,701,021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9,300,960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2,795,274</w:t>
            </w:r>
          </w:p>
        </w:tc>
        <w:tc>
          <w:tcPr>
            <w:tcW w:w="60" w:type="dxa"/>
            <w:vAlign w:val="bottom"/>
          </w:tcPr>
          <w:p>
            <w:pPr>
              <w:spacing w:after="0"/>
              <w:rPr>
                <w:sz w:val="22"/>
                <w:szCs w:val="22"/>
                <w:color w:val="auto"/>
              </w:rPr>
            </w:pPr>
          </w:p>
        </w:tc>
      </w:tr>
      <w:tr>
        <w:trPr>
          <w:trHeight w:val="257"/>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18,701,021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9,300,960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2,795,274</w:t>
            </w:r>
          </w:p>
        </w:tc>
        <w:tc>
          <w:tcPr>
            <w:tcW w:w="60" w:type="dxa"/>
            <w:vAlign w:val="bottom"/>
          </w:tcPr>
          <w:p>
            <w:pPr>
              <w:spacing w:after="0"/>
              <w:rPr>
                <w:sz w:val="22"/>
                <w:szCs w:val="22"/>
                <w:color w:val="auto"/>
              </w:rPr>
            </w:pP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Basic and diluted income (loss) per common share</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3"/>
        </w:trPr>
        <w:tc>
          <w:tcPr>
            <w:tcW w:w="5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60" w:type="dxa"/>
            <w:vAlign w:val="bottom"/>
          </w:tcPr>
          <w:p>
            <w:pPr>
              <w:spacing w:after="0"/>
              <w:rPr>
                <w:sz w:val="22"/>
                <w:szCs w:val="22"/>
                <w:color w:val="auto"/>
              </w:rPr>
            </w:pPr>
          </w:p>
        </w:tc>
      </w:tr>
      <w:tr>
        <w:trPr>
          <w:trHeight w:val="263"/>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(0.51)</w:t>
            </w:r>
          </w:p>
        </w:tc>
      </w:tr>
      <w:tr>
        <w:trPr>
          <w:trHeight w:val="20"/>
        </w:trPr>
        <w:tc>
          <w:tcPr>
            <w:tcW w:w="1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-1508125</wp:posOffset>
            </wp:positionV>
            <wp:extent cx="1028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-1508125</wp:posOffset>
            </wp:positionV>
            <wp:extent cx="394335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943350" cy="8890"/>
                    </a:xfrm>
                    <a:prstGeom prst="rect">
                      <a:avLst/>
                    </a:prstGeom>
                    <a:noFill/>
                  </pic:spPr>
                </pic:pic>
              </a:graphicData>
            </a:graphic>
          </wp:anchor>
        </w:drawing>
      </w:r>
    </w:p>
    <w:p>
      <w:pPr>
        <w:spacing w:after="0" w:line="10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Per share data is based on average weighted shares outstanding.</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Net Assets</w:t>
      </w:r>
    </w:p>
    <w:p>
      <w:pPr>
        <w:spacing w:after="0" w:line="162" w:lineRule="exact"/>
        <w:rPr>
          <w:sz w:val="20"/>
          <w:szCs w:val="20"/>
          <w:color w:val="auto"/>
        </w:rPr>
      </w:pPr>
    </w:p>
    <w:p>
      <w:pPr>
        <w:jc w:val="both"/>
        <w:ind w:left="1260" w:right="679" w:firstLine="360"/>
        <w:spacing w:after="0" w:line="248" w:lineRule="auto"/>
        <w:rPr>
          <w:sz w:val="20"/>
          <w:szCs w:val="20"/>
          <w:color w:val="auto"/>
        </w:rPr>
      </w:pPr>
      <w:r>
        <w:rPr>
          <w:rFonts w:ascii="Arial" w:cs="Arial" w:eastAsia="Arial" w:hAnsi="Arial"/>
          <w:sz w:val="18"/>
          <w:szCs w:val="18"/>
          <w:color w:val="auto"/>
        </w:rPr>
        <w:t>The Company has the authority to issue 100,000,000 shares of common stock, $0.01 par value per share. The common shares issued, the price per share and the proceeds raised, since inception, are detailed in the following table:</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Issuance Date</w:t>
            </w:r>
          </w:p>
        </w:tc>
        <w:tc>
          <w:tcPr>
            <w:tcW w:w="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Shares Issued</w:t>
            </w:r>
          </w:p>
        </w:tc>
        <w:tc>
          <w:tcPr>
            <w:tcW w:w="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Price Per Share</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Gross Proceeds</w:t>
            </w:r>
          </w:p>
        </w:tc>
      </w:tr>
      <w:tr>
        <w:trPr>
          <w:trHeight w:val="215"/>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8, 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rPr>
              <w:t>December 22, 2016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333,333</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5,000,000</w:t>
            </w:r>
          </w:p>
        </w:tc>
      </w:tr>
      <w:tr>
        <w:trPr>
          <w:trHeight w:val="216"/>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19, 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15,000,000</w:t>
            </w:r>
          </w:p>
        </w:tc>
      </w:t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rPr>
              <w:t>June 26, 2017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1,666,667</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25,000,000</w:t>
            </w:r>
          </w:p>
        </w:tc>
      </w:tr>
      <w:tr>
        <w:trPr>
          <w:trHeight w:val="216"/>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12, 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2,666,667</w:t>
            </w: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40,000,000</w:t>
            </w:r>
          </w:p>
        </w:tc>
      </w:t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rPr>
              <w:t>December 22, 2017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45,000,000</w:t>
            </w:r>
          </w:p>
        </w:tc>
      </w:tr>
      <w:tr>
        <w:trPr>
          <w:trHeight w:val="230"/>
        </w:trPr>
        <w:tc>
          <w:tcPr>
            <w:tcW w:w="494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May 31, 2018</w:t>
            </w:r>
            <w:r>
              <w:rPr>
                <w:rFonts w:ascii="Arial" w:cs="Arial" w:eastAsia="Arial" w:hAnsi="Arial"/>
                <w:sz w:val="26"/>
                <w:szCs w:val="26"/>
                <w:color w:val="auto"/>
                <w:vertAlign w:val="superscript"/>
              </w:rPr>
              <w:t>(1)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70,563</w:t>
            </w: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14.82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1,045,570</w:t>
            </w:r>
          </w:p>
        </w:tc>
      </w:tr>
      <w:tr>
        <w:trPr>
          <w:trHeight w:val="230"/>
        </w:trPr>
        <w:tc>
          <w:tcPr>
            <w:tcW w:w="4940" w:type="dxa"/>
            <w:vAlign w:val="bottom"/>
            <w:gridSpan w:val="3"/>
          </w:tcPr>
          <w:p>
            <w:pPr>
              <w:spacing w:after="0" w:line="230" w:lineRule="exact"/>
              <w:rPr>
                <w:sz w:val="20"/>
                <w:szCs w:val="20"/>
                <w:color w:val="auto"/>
              </w:rPr>
            </w:pPr>
            <w:r>
              <w:rPr>
                <w:rFonts w:ascii="Arial" w:cs="Arial" w:eastAsia="Arial" w:hAnsi="Arial"/>
                <w:sz w:val="18"/>
                <w:szCs w:val="18"/>
                <w:color w:val="auto"/>
              </w:rPr>
              <w:t>August 31, 2018</w:t>
            </w:r>
            <w:r>
              <w:rPr>
                <w:rFonts w:ascii="Arial" w:cs="Arial" w:eastAsia="Arial" w:hAnsi="Arial"/>
                <w:sz w:val="26"/>
                <w:szCs w:val="26"/>
                <w:color w:val="auto"/>
                <w:vertAlign w:val="superscript"/>
              </w:rPr>
              <w:t>(1)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117,582</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color w:val="auto"/>
              </w:rPr>
              <w:t>14.92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1,754,244</w:t>
            </w:r>
          </w:p>
        </w:tc>
      </w:tr>
      <w:tr>
        <w:trPr>
          <w:trHeight w:val="216"/>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27, 2018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1,997,337</w:t>
            </w: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15.02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30,000,000</w:t>
            </w:r>
          </w:p>
        </w:tc>
      </w:tr>
      <w:tr>
        <w:trPr>
          <w:trHeight w:val="230"/>
        </w:trPr>
        <w:tc>
          <w:tcPr>
            <w:tcW w:w="4940" w:type="dxa"/>
            <w:vAlign w:val="bottom"/>
            <w:gridSpan w:val="3"/>
          </w:tcPr>
          <w:p>
            <w:pPr>
              <w:spacing w:after="0" w:line="230" w:lineRule="exact"/>
              <w:rPr>
                <w:sz w:val="20"/>
                <w:szCs w:val="20"/>
                <w:color w:val="auto"/>
              </w:rPr>
            </w:pPr>
            <w:r>
              <w:rPr>
                <w:rFonts w:ascii="Arial" w:cs="Arial" w:eastAsia="Arial" w:hAnsi="Arial"/>
                <w:sz w:val="18"/>
                <w:szCs w:val="18"/>
                <w:color w:val="auto"/>
              </w:rPr>
              <w:t>November 15, 2018</w:t>
            </w:r>
            <w:r>
              <w:rPr>
                <w:rFonts w:ascii="Arial" w:cs="Arial" w:eastAsia="Arial" w:hAnsi="Arial"/>
                <w:sz w:val="26"/>
                <w:szCs w:val="26"/>
                <w:color w:val="auto"/>
                <w:vertAlign w:val="superscript"/>
              </w:rPr>
              <w:t>(1)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202,779</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color w:val="auto"/>
              </w:rPr>
              <w:t>15.07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3,055,498</w:t>
            </w:r>
          </w:p>
        </w:tc>
      </w:tr>
      <w:tr>
        <w:trPr>
          <w:trHeight w:val="216"/>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14, 2019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4,344,964</w:t>
            </w: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15.19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66,000,000</w:t>
            </w:r>
          </w:p>
        </w:tc>
      </w:tr>
      <w:tr>
        <w:trPr>
          <w:trHeight w:val="243"/>
        </w:trPr>
        <w:tc>
          <w:tcPr>
            <w:tcW w:w="4940" w:type="dxa"/>
            <w:vAlign w:val="bottom"/>
            <w:gridSpan w:val="3"/>
          </w:tcPr>
          <w:p>
            <w:pPr>
              <w:spacing w:after="0" w:line="243" w:lineRule="exact"/>
              <w:rPr>
                <w:sz w:val="20"/>
                <w:szCs w:val="20"/>
                <w:color w:val="auto"/>
              </w:rPr>
            </w:pPr>
            <w:r>
              <w:rPr>
                <w:rFonts w:ascii="Arial" w:cs="Arial" w:eastAsia="Arial" w:hAnsi="Arial"/>
                <w:sz w:val="18"/>
                <w:szCs w:val="18"/>
                <w:color w:val="auto"/>
              </w:rPr>
              <w:t>March 26, 2019</w:t>
            </w:r>
            <w:r>
              <w:rPr>
                <w:rFonts w:ascii="Arial" w:cs="Arial" w:eastAsia="Arial" w:hAnsi="Arial"/>
                <w:sz w:val="26"/>
                <w:szCs w:val="26"/>
                <w:color w:val="auto"/>
                <w:vertAlign w:val="superscript"/>
              </w:rPr>
              <w:t>(1)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326,431</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color w:val="auto"/>
              </w:rPr>
              <w:t>15.14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4,942,168</w:t>
            </w:r>
          </w:p>
        </w:tc>
      </w:tr>
      <w:tr>
        <w:trPr>
          <w:trHeight w:val="243"/>
        </w:trPr>
        <w:tc>
          <w:tcPr>
            <w:tcW w:w="4940" w:type="dxa"/>
            <w:vAlign w:val="bottom"/>
            <w:gridSpan w:val="3"/>
            <w:shd w:val="clear" w:color="auto" w:fill="CCEEFF"/>
          </w:tcPr>
          <w:p>
            <w:pPr>
              <w:spacing w:after="0" w:line="243" w:lineRule="exact"/>
              <w:rPr>
                <w:sz w:val="20"/>
                <w:szCs w:val="20"/>
                <w:color w:val="auto"/>
              </w:rPr>
            </w:pPr>
            <w:r>
              <w:rPr>
                <w:rFonts w:ascii="Arial" w:cs="Arial" w:eastAsia="Arial" w:hAnsi="Arial"/>
                <w:sz w:val="18"/>
                <w:szCs w:val="18"/>
                <w:color w:val="auto"/>
              </w:rPr>
              <w:t>May 21, 2019</w:t>
            </w:r>
            <w:r>
              <w:rPr>
                <w:rFonts w:ascii="Arial" w:cs="Arial" w:eastAsia="Arial" w:hAnsi="Arial"/>
                <w:sz w:val="26"/>
                <w:szCs w:val="26"/>
                <w:color w:val="auto"/>
                <w:vertAlign w:val="superscript"/>
              </w:rPr>
              <w:t>(1)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374,783</w:t>
            </w: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15.13</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5,670,467</w:t>
            </w: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May 24, 2019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3,232,189</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color w:val="auto"/>
              </w:rPr>
              <w:t>15.16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49,000,000</w:t>
            </w:r>
          </w:p>
        </w:tc>
      </w:tr>
      <w:tr>
        <w:trPr>
          <w:trHeight w:val="243"/>
        </w:trPr>
        <w:tc>
          <w:tcPr>
            <w:tcW w:w="4940" w:type="dxa"/>
            <w:vAlign w:val="bottom"/>
            <w:gridSpan w:val="3"/>
            <w:shd w:val="clear" w:color="auto" w:fill="CCEEFF"/>
          </w:tcPr>
          <w:p>
            <w:pPr>
              <w:spacing w:after="0" w:line="243" w:lineRule="exact"/>
              <w:rPr>
                <w:sz w:val="20"/>
                <w:szCs w:val="20"/>
                <w:color w:val="auto"/>
              </w:rPr>
            </w:pPr>
            <w:r>
              <w:rPr>
                <w:rFonts w:ascii="Arial" w:cs="Arial" w:eastAsia="Arial" w:hAnsi="Arial"/>
                <w:sz w:val="18"/>
                <w:szCs w:val="18"/>
                <w:color w:val="auto"/>
              </w:rPr>
              <w:t>July 16, 2019</w:t>
            </w:r>
            <w:r>
              <w:rPr>
                <w:rFonts w:ascii="Arial" w:cs="Arial" w:eastAsia="Arial" w:hAnsi="Arial"/>
                <w:sz w:val="26"/>
                <w:szCs w:val="26"/>
                <w:color w:val="auto"/>
                <w:vertAlign w:val="superscript"/>
              </w:rPr>
              <w:t>(1)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464,986</w:t>
            </w: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15.13</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7,035,237</w:t>
            </w:r>
          </w:p>
        </w:tc>
      </w:tr>
      <w:tr>
        <w:trPr>
          <w:trHeight w:val="243"/>
        </w:trPr>
        <w:tc>
          <w:tcPr>
            <w:tcW w:w="4940" w:type="dxa"/>
            <w:vAlign w:val="bottom"/>
            <w:gridSpan w:val="3"/>
          </w:tcPr>
          <w:p>
            <w:pPr>
              <w:spacing w:after="0" w:line="243" w:lineRule="exact"/>
              <w:rPr>
                <w:sz w:val="20"/>
                <w:szCs w:val="20"/>
                <w:color w:val="auto"/>
              </w:rPr>
            </w:pPr>
            <w:r>
              <w:rPr>
                <w:rFonts w:ascii="Arial" w:cs="Arial" w:eastAsia="Arial" w:hAnsi="Arial"/>
                <w:sz w:val="18"/>
                <w:szCs w:val="18"/>
                <w:color w:val="auto"/>
              </w:rPr>
              <w:t>August 26, 2019</w:t>
            </w:r>
            <w:r>
              <w:rPr>
                <w:rFonts w:ascii="Arial" w:cs="Arial" w:eastAsia="Arial" w:hAnsi="Arial"/>
                <w:sz w:val="26"/>
                <w:szCs w:val="26"/>
                <w:color w:val="auto"/>
                <w:vertAlign w:val="superscript"/>
              </w:rPr>
              <w:t>(1)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480,121</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color w:val="auto"/>
              </w:rPr>
              <w:t>14.76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7,088,143</w:t>
            </w:r>
          </w:p>
        </w:tc>
      </w:tr>
      <w:tr>
        <w:trPr>
          <w:trHeight w:val="229"/>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15, 2019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25,000,000</w:t>
            </w:r>
          </w:p>
        </w:tc>
      </w:tr>
      <w:tr>
        <w:trPr>
          <w:trHeight w:val="243"/>
        </w:trPr>
        <w:tc>
          <w:tcPr>
            <w:tcW w:w="4940" w:type="dxa"/>
            <w:vAlign w:val="bottom"/>
            <w:gridSpan w:val="3"/>
          </w:tcPr>
          <w:p>
            <w:pPr>
              <w:spacing w:after="0" w:line="243" w:lineRule="exact"/>
              <w:rPr>
                <w:sz w:val="20"/>
                <w:szCs w:val="20"/>
                <w:color w:val="auto"/>
              </w:rPr>
            </w:pPr>
            <w:r>
              <w:rPr>
                <w:rFonts w:ascii="Arial" w:cs="Arial" w:eastAsia="Arial" w:hAnsi="Arial"/>
                <w:sz w:val="18"/>
                <w:szCs w:val="18"/>
                <w:color w:val="auto"/>
              </w:rPr>
              <w:t>November 12, 2019</w:t>
            </w:r>
            <w:r>
              <w:rPr>
                <w:rFonts w:ascii="Arial" w:cs="Arial" w:eastAsia="Arial" w:hAnsi="Arial"/>
                <w:sz w:val="26"/>
                <w:szCs w:val="26"/>
                <w:color w:val="auto"/>
                <w:vertAlign w:val="superscript"/>
              </w:rPr>
              <w:t>(1)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43,979</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color w:val="auto"/>
              </w:rPr>
              <w:t>14.76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649,123</w:t>
            </w:r>
          </w:p>
        </w:tc>
      </w:tr>
      <w:tr>
        <w:trPr>
          <w:trHeight w:val="230"/>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20, 2019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50,000,000</w:t>
            </w:r>
          </w:p>
        </w:tc>
      </w:tr>
      <w:tr>
        <w:trPr>
          <w:trHeight w:val="270"/>
        </w:trPr>
        <w:tc>
          <w:tcPr>
            <w:tcW w:w="4940" w:type="dxa"/>
            <w:vAlign w:val="bottom"/>
            <w:tcBorders>
              <w:bottom w:val="single" w:sz="8" w:color="CCEEFF"/>
            </w:tcBorders>
            <w:gridSpan w:val="3"/>
          </w:tcPr>
          <w:p>
            <w:pPr>
              <w:spacing w:after="0" w:line="270" w:lineRule="exact"/>
              <w:rPr>
                <w:sz w:val="20"/>
                <w:szCs w:val="20"/>
                <w:color w:val="auto"/>
              </w:rPr>
            </w:pPr>
            <w:r>
              <w:rPr>
                <w:rFonts w:ascii="Arial" w:cs="Arial" w:eastAsia="Arial" w:hAnsi="Arial"/>
                <w:sz w:val="18"/>
                <w:szCs w:val="18"/>
                <w:color w:val="auto"/>
              </w:rPr>
              <w:t>December 23, 2019</w:t>
            </w:r>
            <w:r>
              <w:rPr>
                <w:rFonts w:ascii="Arial" w:cs="Arial" w:eastAsia="Arial" w:hAnsi="Arial"/>
                <w:sz w:val="26"/>
                <w:szCs w:val="26"/>
                <w:color w:val="auto"/>
                <w:vertAlign w:val="superscript"/>
              </w:rPr>
              <w:t>(1)</w:t>
            </w:r>
          </w:p>
        </w:tc>
        <w:tc>
          <w:tcPr>
            <w:tcW w:w="2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487,166</w:t>
            </w:r>
          </w:p>
        </w:tc>
        <w:tc>
          <w:tcPr>
            <w:tcW w:w="1180" w:type="dxa"/>
            <w:vAlign w:val="bottom"/>
            <w:tcBorders>
              <w:bottom w:val="single" w:sz="8" w:color="CCEEFF"/>
            </w:tcBorders>
            <w:gridSpan w:val="2"/>
          </w:tcPr>
          <w:p>
            <w:pPr>
              <w:jc w:val="right"/>
              <w:ind w:right="168"/>
              <w:spacing w:after="0"/>
              <w:rPr>
                <w:sz w:val="20"/>
                <w:szCs w:val="20"/>
                <w:color w:val="auto"/>
              </w:rPr>
            </w:pPr>
            <w:r>
              <w:rPr>
                <w:rFonts w:ascii="Arial" w:cs="Arial" w:eastAsia="Arial" w:hAnsi="Arial"/>
                <w:sz w:val="18"/>
                <w:szCs w:val="18"/>
                <w:color w:val="auto"/>
              </w:rPr>
              <w:t>14.52</w:t>
            </w:r>
          </w:p>
        </w:tc>
        <w:tc>
          <w:tcPr>
            <w:tcW w:w="2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7,073,649</w:t>
            </w:r>
          </w:p>
        </w:tc>
      </w:tr>
      <w:tr>
        <w:trPr>
          <w:trHeight w:val="250"/>
        </w:trPr>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25,811,214</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388,339,099</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75"/>
        </w:trPr>
        <w:tc>
          <w:tcPr>
            <w:tcW w:w="1940" w:type="dxa"/>
            <w:vAlign w:val="bottom"/>
            <w:tcBorders>
              <w:bottom w:val="single" w:sz="8" w:color="auto"/>
            </w:tcBorders>
          </w:tcPr>
          <w:p>
            <w:pPr>
              <w:spacing w:after="0"/>
              <w:rPr>
                <w:sz w:val="6"/>
                <w:szCs w:val="6"/>
                <w:color w:val="auto"/>
              </w:rPr>
            </w:pPr>
          </w:p>
        </w:tc>
        <w:tc>
          <w:tcPr>
            <w:tcW w:w="2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-265430</wp:posOffset>
            </wp:positionV>
            <wp:extent cx="457771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-3188335</wp:posOffset>
            </wp:positionV>
            <wp:extent cx="137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-3188335</wp:posOffset>
            </wp:positionV>
            <wp:extent cx="137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-3188335</wp:posOffset>
            </wp:positionV>
            <wp:extent cx="137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Shares were issued as part of the dividend reinvestment program.</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68065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jc w:val="both"/>
        <w:ind w:left="1260" w:right="679" w:firstLine="360"/>
        <w:spacing w:after="0"/>
        <w:rPr>
          <w:sz w:val="20"/>
          <w:szCs w:val="20"/>
          <w:color w:val="auto"/>
        </w:rPr>
      </w:pPr>
      <w:r>
        <w:rPr>
          <w:rFonts w:ascii="Arial" w:cs="Arial" w:eastAsia="Arial" w:hAnsi="Arial"/>
          <w:sz w:val="18"/>
          <w:szCs w:val="18"/>
          <w:color w:val="auto"/>
        </w:rPr>
        <w:t>At December 31, 2019 and December 31, 2018, the Company had total commitments of $275,000,000 under the Company’s Initial Private Offering. As of December 31, 2018, $115,000,000 was undrawn. As of December 31, 2019, all capital commitments under the Initial Private Offering had been drawn. Between June 14, 2019 and December 31, 2019, the Company accepted $174,423,500 in capital commitments under its Second Private Offering. As of December 31, 2019, $75,000,000 of capital commitments under the Second Private Offering had been drawn.</w:t>
      </w:r>
    </w:p>
    <w:p>
      <w:pPr>
        <w:spacing w:after="0" w:line="108"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7"/>
          <w:szCs w:val="17"/>
          <w:color w:val="auto"/>
        </w:rPr>
        <w:t>Capital commitments may be drawn down by the Company on a pro rata basis, as needed, upon not less than ten (10) days’ prior written notice for the purposes of funding the Company’s investments (including follow-on investments), paying the Company’s expenses, including fees under the investment advisory agreement, as amended and restated (the “Amended Advisory Agreement”), by and between the Company and RGC, and/or maintaining a reserve account for the payment of future expenses or liabilities.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Related Party Agreements and Transactions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and Restated Advisory Agreement</w:t>
      </w:r>
    </w:p>
    <w:p>
      <w:pPr>
        <w:spacing w:after="0" w:line="158" w:lineRule="exact"/>
        <w:rPr>
          <w:sz w:val="20"/>
          <w:szCs w:val="20"/>
          <w:color w:val="auto"/>
        </w:rPr>
      </w:pPr>
    </w:p>
    <w:p>
      <w:pPr>
        <w:jc w:val="both"/>
        <w:ind w:left="1260" w:right="679" w:firstLine="360"/>
        <w:spacing w:after="0" w:line="255" w:lineRule="auto"/>
        <w:rPr>
          <w:sz w:val="20"/>
          <w:szCs w:val="20"/>
          <w:color w:val="auto"/>
        </w:rPr>
      </w:pPr>
      <w:r>
        <w:rPr>
          <w:rFonts w:ascii="Arial" w:cs="Arial" w:eastAsia="Arial" w:hAnsi="Arial"/>
          <w:sz w:val="17"/>
          <w:szCs w:val="17"/>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On August 3, 2017, the Board of Directors approved the Amended Advisory Agreement and recommended that the Company’s stockholders approve the Amended Advisory Agreement. The Amended Advisory Agreement became effective on September 12, 2017 after approval by the stockholders at a special meeting of stockholders of the Company. Under the terms of the Amended Advisory Agreement, RGC:</w:t>
      </w:r>
    </w:p>
    <w:p>
      <w:pPr>
        <w:spacing w:after="0" w:line="72" w:lineRule="exact"/>
        <w:rPr>
          <w:sz w:val="20"/>
          <w:szCs w:val="20"/>
          <w:color w:val="auto"/>
        </w:rPr>
      </w:pPr>
    </w:p>
    <w:p>
      <w:pPr>
        <w:ind w:left="1800" w:right="679" w:hanging="178"/>
        <w:spacing w:after="0" w:line="277"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determines the composition of the Company’s portfolio, the nature and timing of the changes to the portfolio and the manner of implementing such changes;</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the Company makes;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executes, closes and monitors the investments the Company makes;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determines the securities and other assets that the Company will purchase, retain or sell;</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103"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provides the Company with other such investment advisory, research and related services as the Company may, from time to time, reasonably require for the investment of its funds.</w:t>
      </w:r>
    </w:p>
    <w:p>
      <w:pPr>
        <w:spacing w:after="0" w:line="103" w:lineRule="exact"/>
        <w:rPr>
          <w:sz w:val="20"/>
          <w:szCs w:val="20"/>
          <w:color w:val="auto"/>
        </w:rPr>
      </w:pPr>
    </w:p>
    <w:p>
      <w:pPr>
        <w:jc w:val="both"/>
        <w:ind w:left="1260" w:right="679" w:firstLine="360"/>
        <w:spacing w:after="0" w:line="294" w:lineRule="auto"/>
        <w:rPr>
          <w:sz w:val="20"/>
          <w:szCs w:val="20"/>
          <w:color w:val="auto"/>
        </w:rPr>
      </w:pPr>
      <w:r>
        <w:rPr>
          <w:rFonts w:ascii="Arial" w:cs="Arial" w:eastAsia="Arial" w:hAnsi="Arial"/>
          <w:sz w:val="16"/>
          <w:szCs w:val="16"/>
          <w:color w:val="auto"/>
        </w:rPr>
        <w:t>Pursuant to the Amended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Base Management Fee</w:t>
      </w:r>
    </w:p>
    <w:p>
      <w:pPr>
        <w:spacing w:after="0" w:line="158" w:lineRule="exact"/>
        <w:rPr>
          <w:sz w:val="20"/>
          <w:szCs w:val="20"/>
          <w:color w:val="auto"/>
        </w:rPr>
      </w:pPr>
    </w:p>
    <w:p>
      <w:pPr>
        <w:jc w:val="both"/>
        <w:ind w:left="1260" w:right="679" w:firstLine="360"/>
        <w:spacing w:after="0" w:line="269" w:lineRule="auto"/>
        <w:rPr>
          <w:sz w:val="20"/>
          <w:szCs w:val="20"/>
          <w:color w:val="auto"/>
        </w:rPr>
      </w:pPr>
      <w:r>
        <w:rPr>
          <w:rFonts w:ascii="Arial" w:cs="Arial" w:eastAsia="Arial" w:hAnsi="Arial"/>
          <w:sz w:val="16"/>
          <w:szCs w:val="16"/>
          <w:color w:val="auto"/>
        </w:rPr>
        <w:t>The base management fee is payable on the first day of each calendar quarter, is subject to an annual cap based on RGC’s actual operating expenses and is calculated based on the Capital Commitments (as defined below) and assets purchased with borrowed funds or other forms of leverage (collectively, the “Pre-Spin-Off Gross Assets”) during the preceding calendar quarter. For purposes of the Amended Advisory Agreement, “Capital Commitments” is defined as the aggregate amount of capital committed to the Company by investors as of the end of the most recently completed calendar quarter. On September 12, 2017, without changing the base management fee percentage, the Advisory Agreement was amended to provide clarification as to the calculation of the base management fee. Prior to amendment, the base management fee was collected on the first day of each quarter based on an estimate of actual operating expenses, not to exceed 1.75% per annum, for the following quarter with an implied, though not defined “true-up” mechanism effected once all actual costs were known. The Amended Advisory Agreement defines the process and timing of the true-up and base management fee. The base management fee is now collected at the maximum annualized rate of 1.75% per</w:t>
      </w: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jc w:val="both"/>
        <w:ind w:left="1260" w:right="679"/>
        <w:spacing w:after="0" w:line="294" w:lineRule="auto"/>
        <w:rPr>
          <w:sz w:val="20"/>
          <w:szCs w:val="20"/>
          <w:color w:val="auto"/>
        </w:rPr>
      </w:pPr>
      <w:r>
        <w:rPr>
          <w:rFonts w:ascii="Arial" w:cs="Arial" w:eastAsia="Arial" w:hAnsi="Arial"/>
          <w:sz w:val="16"/>
          <w:szCs w:val="16"/>
          <w:color w:val="auto"/>
        </w:rPr>
        <w:t>annum with a comparison of actual expenses for the immediately preceding calendar year to occur on or before March 31 of the subsequent calendar year, with any excess management fee collected when compared to actual operating expenses credited against the base management fee payable for subsequent quarters.</w:t>
      </w:r>
    </w:p>
    <w:p>
      <w:pPr>
        <w:spacing w:after="0" w:line="66" w:lineRule="exact"/>
        <w:rPr>
          <w:sz w:val="20"/>
          <w:szCs w:val="20"/>
          <w:color w:val="auto"/>
        </w:rPr>
      </w:pPr>
    </w:p>
    <w:p>
      <w:pPr>
        <w:jc w:val="both"/>
        <w:ind w:left="1260" w:right="659" w:firstLine="360"/>
        <w:spacing w:after="0" w:line="268" w:lineRule="auto"/>
        <w:rPr>
          <w:sz w:val="20"/>
          <w:szCs w:val="20"/>
          <w:color w:val="auto"/>
        </w:rPr>
      </w:pPr>
      <w:r>
        <w:rPr>
          <w:rFonts w:ascii="Arial" w:cs="Arial" w:eastAsia="Arial" w:hAnsi="Arial"/>
          <w:sz w:val="16"/>
          <w:szCs w:val="16"/>
          <w:color w:val="auto"/>
        </w:rPr>
        <w:t>Until the earlier of (1) the consummation of an initial public offering (“IPO”) of the Public Fund (defined below) in connection with a Spin-Off transaction (defined below) and (2) the earliest date at which (a) all Capital Commitments have been called for investments and/or expenses and (b) the Company holds no more than 10.0% of its total assets in cash, the base management fee will be an amount equal to 0.4375% (1.75% annualized) of the Pre-Spin-Off Gross Assets at the end of the most recently completed calendar quarter, provided, however, that the base management fee payable in a calendar year will not exceed the actual operating expenses incurred by RGC during such calendar year (the “Management Fee Cap”). No later than March 31 of each calendar year, RGC will provide the Company a reconciliation of the actual operating expenses incurred by RGC for the prior calendar year and the base management fee paid to RGC for such prior calendar year. To the extent the base management fee paid to RGC for such prior calendar year exceeds the Management Fee Cap (the “Excess Fee”) for such prior calendar year, the base management fee payable to RGC for the second calendar quarter and each subsequent quarter immediately following such calendar year will be reduced by the Excess Fee until such time as the Excess Fee for the prior calendar year has been reduced to zero. For the avoidance of doubt, actual operating expenses of RGC for a particular year will not include any reduction in base management fees as a result of Excess Fees paid by the Company.</w:t>
      </w:r>
    </w:p>
    <w:p>
      <w:pPr>
        <w:spacing w:after="0" w:line="104" w:lineRule="exact"/>
        <w:rPr>
          <w:sz w:val="20"/>
          <w:szCs w:val="20"/>
          <w:color w:val="auto"/>
        </w:rPr>
      </w:pPr>
    </w:p>
    <w:p>
      <w:pPr>
        <w:jc w:val="both"/>
        <w:ind w:left="1260" w:right="679" w:firstLine="360"/>
        <w:spacing w:after="0" w:line="253" w:lineRule="auto"/>
        <w:rPr>
          <w:sz w:val="20"/>
          <w:szCs w:val="20"/>
          <w:color w:val="auto"/>
        </w:rPr>
      </w:pPr>
      <w:r>
        <w:rPr>
          <w:rFonts w:ascii="Arial" w:cs="Arial" w:eastAsia="Arial" w:hAnsi="Arial"/>
          <w:sz w:val="17"/>
          <w:szCs w:val="17"/>
          <w:color w:val="auto"/>
        </w:rPr>
        <w:t>For purposes of the Amended Advisory Agreement, a “Spin-Off transaction” includes a transaction whereby the Company offers its stockholders the option to elect to either (i) retain their ownership of shares of the Company’s common stock; (ii) exchange their shares of the Company’s common stock for shares of common stock in a newly formed entity (the “Public Fund”) that will elect to be regulated as a BDC under the 1940 Act and treated as a RIC under Subchapter M of the Code, and will use its commercially reasonable best efforts to complete an IPO of shares of its common stock not later than three years after the Company’s final closing of the Initial Private Offering, which occurred on December 1, 2017; or (iii) exchange their shares of the Company’s common stock for interests of one or more newly formed entities (each, a “Liquidating Fund”) that will each be organized as a limited liability company, and which will, among other things, seek to complete an orderly wind down and/or liquidation of any such Liquidating Fund.</w:t>
      </w:r>
    </w:p>
    <w:p>
      <w:pPr>
        <w:spacing w:after="0" w:line="113" w:lineRule="exact"/>
        <w:rPr>
          <w:sz w:val="20"/>
          <w:szCs w:val="20"/>
          <w:color w:val="auto"/>
        </w:rPr>
      </w:pPr>
    </w:p>
    <w:p>
      <w:pPr>
        <w:jc w:val="both"/>
        <w:ind w:left="1260" w:right="679" w:firstLine="360"/>
        <w:spacing w:after="0" w:line="268" w:lineRule="auto"/>
        <w:rPr>
          <w:sz w:val="20"/>
          <w:szCs w:val="20"/>
          <w:color w:val="auto"/>
        </w:rPr>
      </w:pPr>
      <w:r>
        <w:rPr>
          <w:rFonts w:ascii="Arial" w:cs="Arial" w:eastAsia="Arial" w:hAnsi="Arial"/>
          <w:sz w:val="16"/>
          <w:szCs w:val="16"/>
          <w:color w:val="auto"/>
        </w:rPr>
        <w:t>Following the earlier of (1) the consummation of an IPO of the Public Fund in connection with a Spin-Off transaction and (2) the earliest date at which (a) all Capital Commitments have been called for investments and/or expenses and (b) the Company holds no more than 10.0% of its total assets in cash, the base management fee will be an amount equal to 0.4375% (1.75% annualized) of the Company’s average daily Gross Assets (defined below) during the most recently completed calendar quarter for so long as the aggregate amount of Gross Assets of the Company as of the end of the most recently completed calendar quarter is less than $500,000,000. For purposes of the Amended Advisory Agreement, “Gross Assets” is defined as the Company’s gross assets, including assets purchased with borrowed funds or other forms of leverage, as well as any paid-in-kind interest, as of the end of the most recently completed fiscal quarter. If the aggregate amount of the Company’s Gross Assets as of the end of the most recently completed calendar quarter is equal to or greater than $500,000,000, but less than $1,000,000,000,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equal to or greater than $1,000,000,000, the base management fee will be an amount equal to 0.375% (1.50% annualized) of the Company’s average daily Gross Assets during the most recently completed calendar quarter.</w:t>
      </w:r>
    </w:p>
    <w:p>
      <w:pPr>
        <w:spacing w:after="0" w:line="91" w:lineRule="exact"/>
        <w:rPr>
          <w:sz w:val="20"/>
          <w:szCs w:val="20"/>
          <w:color w:val="auto"/>
        </w:rPr>
      </w:pPr>
    </w:p>
    <w:p>
      <w:pPr>
        <w:jc w:val="both"/>
        <w:ind w:left="1260" w:right="679" w:firstLine="360"/>
        <w:spacing w:after="0" w:line="279" w:lineRule="auto"/>
        <w:rPr>
          <w:sz w:val="20"/>
          <w:szCs w:val="20"/>
          <w:color w:val="auto"/>
        </w:rPr>
      </w:pPr>
      <w:r>
        <w:rPr>
          <w:rFonts w:ascii="Arial" w:cs="Arial" w:eastAsia="Arial" w:hAnsi="Arial"/>
          <w:sz w:val="16"/>
          <w:szCs w:val="16"/>
          <w:color w:val="auto"/>
        </w:rPr>
        <w:t>As of June 13, 2019, the Company had called all Capital Commitments and held less than 10% of its total assets in cash. As such, pursuant to the Amended Advisory Agreement, the base management fee payable to the Company is now calculated as an amount equal to 0.4375% (1.75% annualized) of the Company’s average daily Gross Assets during the most recently completed calendar quarter for so long as the aggregate amount of Gross Assets of the Company as of the end of the most recently completed calendar quarter is less than $500,000,000.</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jc w:val="both"/>
        <w:ind w:left="1260" w:right="679" w:firstLine="360"/>
        <w:spacing w:after="0" w:line="324" w:lineRule="auto"/>
        <w:rPr>
          <w:sz w:val="20"/>
          <w:szCs w:val="20"/>
          <w:color w:val="auto"/>
        </w:rPr>
      </w:pPr>
      <w:r>
        <w:rPr>
          <w:rFonts w:ascii="Arial" w:cs="Arial" w:eastAsia="Arial" w:hAnsi="Arial"/>
          <w:sz w:val="16"/>
          <w:szCs w:val="16"/>
          <w:color w:val="auto"/>
        </w:rPr>
        <w:t>RGC earned base management fees of $5,105,009, $4,812,500 and $3,587,314 for the years ended December 31, 2019, 2018 and 2017, respectively. There were no excess fees paid during any of these years.</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Incentive Fee</w:t>
      </w:r>
    </w:p>
    <w:p>
      <w:pPr>
        <w:spacing w:after="0" w:line="144"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7"/>
          <w:szCs w:val="17"/>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pacing w:after="0" w:line="96" w:lineRule="exact"/>
        <w:rPr>
          <w:sz w:val="20"/>
          <w:szCs w:val="20"/>
          <w:color w:val="auto"/>
        </w:rPr>
      </w:pPr>
    </w:p>
    <w:p>
      <w:pPr>
        <w:jc w:val="both"/>
        <w:ind w:left="1260" w:right="659" w:firstLine="360"/>
        <w:spacing w:after="0" w:line="266" w:lineRule="auto"/>
        <w:rPr>
          <w:sz w:val="20"/>
          <w:szCs w:val="20"/>
          <w:color w:val="auto"/>
        </w:rPr>
      </w:pPr>
      <w:r>
        <w:rPr>
          <w:rFonts w:ascii="Arial" w:cs="Arial" w:eastAsia="Arial" w:hAnsi="Arial"/>
          <w:sz w:val="16"/>
          <w:szCs w:val="16"/>
          <w:color w:val="auto"/>
        </w:rPr>
        <w:t>Under the investment-income component (the “Income Incentive Fee”), the Company will pay RGC each quarter an incentive fee with respect to the Company’s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administration agreement with the Administrator (the “Administration Agreement”), and any dividends paid on any issued and outstanding preferred stock, but excluding the incentive fee); provided however, that Pre-Incentive Fee net investment income will be reduced by multiplying the Pre-Incentive Fee net investment income earned for the quarter by a fraction, the numerator of which is the Company’s average daily Gross Assets during the immediately preceding fiscal quarter minus average daily borrowings during the immediately preceding fiscal quarter, and the denominator of which is the Company’s average daily Gross Assets during the immediately preceding fiscal quarter. Pre-Incentive Fee net investment income includes, in the case of investments with a deferred interest feature (such as original issue discount,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113" w:lineRule="exact"/>
        <w:rPr>
          <w:sz w:val="20"/>
          <w:szCs w:val="20"/>
          <w:color w:val="auto"/>
        </w:rPr>
      </w:pPr>
    </w:p>
    <w:p>
      <w:pPr>
        <w:jc w:val="both"/>
        <w:ind w:left="1260" w:right="679" w:firstLine="360"/>
        <w:spacing w:after="0" w:line="268" w:lineRule="auto"/>
        <w:rPr>
          <w:sz w:val="20"/>
          <w:szCs w:val="20"/>
          <w:color w:val="auto"/>
        </w:rPr>
      </w:pPr>
      <w:r>
        <w:rPr>
          <w:rFonts w:ascii="Arial" w:cs="Arial" w:eastAsia="Arial" w:hAnsi="Arial"/>
          <w:sz w:val="16"/>
          <w:szCs w:val="16"/>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will pay RGC an Income Incentive Fee with respect to the Company’s Pre-Incentive Fee net investment income in each calendar quarter as follows: (1) no Income Incentive Fee in any calendar quarter in which the Company’s Pre-Incentive Fee net investment income does not exceed the hurdle rate of 2.0%; (2) 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91" w:lineRule="exact"/>
        <w:rPr>
          <w:sz w:val="20"/>
          <w:szCs w:val="20"/>
          <w:color w:val="auto"/>
        </w:rPr>
      </w:pPr>
    </w:p>
    <w:p>
      <w:pPr>
        <w:jc w:val="both"/>
        <w:ind w:left="1260" w:right="679" w:firstLine="360"/>
        <w:spacing w:after="0" w:line="324" w:lineRule="auto"/>
        <w:rPr>
          <w:sz w:val="20"/>
          <w:szCs w:val="20"/>
          <w:color w:val="auto"/>
        </w:rPr>
      </w:pPr>
      <w:r>
        <w:rPr>
          <w:rFonts w:ascii="Arial" w:cs="Arial" w:eastAsia="Arial" w:hAnsi="Arial"/>
          <w:sz w:val="16"/>
          <w:szCs w:val="16"/>
          <w:color w:val="auto"/>
        </w:rPr>
        <w:t>Until the consummation of an IPO of the Public Fund in connection with a Spin-Off transaction, in the event that (a) the sum of the Company’s cumulative net realized losses since the date of the Company’s election</w:t>
      </w: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jc w:val="both"/>
        <w:ind w:left="1260" w:right="679"/>
        <w:spacing w:after="0" w:line="286" w:lineRule="auto"/>
        <w:rPr>
          <w:sz w:val="20"/>
          <w:szCs w:val="20"/>
          <w:color w:val="auto"/>
        </w:rPr>
      </w:pPr>
      <w:r>
        <w:rPr>
          <w:rFonts w:ascii="Arial" w:cs="Arial" w:eastAsia="Arial" w:hAnsi="Arial"/>
          <w:sz w:val="16"/>
          <w:szCs w:val="16"/>
          <w:color w:val="auto"/>
        </w:rPr>
        <w:t>to be regulated as a BDC exceeds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is less than 10.0%, no Income Incentive Fee will be payable for such quarter until the first subsequent quarter in which either (x) the sum of the Company’s cumulative net realized losses since the date of the Company’s election to be regulated as a BDC is equal to or less than 2.0% of the total non-control/non-affiliate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will any Income Incentive Fee be payable for any prior quarter after the three-year anniversary of the end of such quarter.</w:t>
      </w:r>
    </w:p>
    <w:p>
      <w:pPr>
        <w:spacing w:after="0" w:line="90"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6"/>
          <w:szCs w:val="16"/>
          <w:color w:val="auto"/>
        </w:rPr>
        <w:t>After the consummation of an IPO of the Public Fund in connection with a Spin-Off transaction, in the event that (a) the sum of the Company’s cumulative net realized losses for the previous four fiscal quarters or, if fewer than four fiscal quarters have passed since such IPO, that number of fiscal quarters since such IPO (the “Look-Back Period”), exceeds 2.0% of the total non-control/non-affiliate investments (i) made by the Company during the Look-Back Period or (ii) transferred to the Public Fund in connection with a Spin-Off transaction during the Look-Back Period and (b) the Adjusted Pre-Incentive Fee net investment income, expressed as an annualized rate of return on the value of the Company’s average daily net assets (defined as total assets less liabilities), during the Look-Back Period is less than 10.0% no Income Incentive Fee will be payable for such quarter until the first subsequent quarter in which (x) the sum of the Company’s cumulative net realized losses for the Look-Back Period is equal to or less than 2.0% of the total non-control/non-affiliate investments (i) made by the Company during the Look-Back Period or (ii) transferred to the Public Fund in connection with a Spin-Off transaction during the Look-Back Period or (y) the Adjusted Pre-Incentive Fee net investment income, expressed as an annualized rate of return on the value of the Company’s average daily net assets (defined as total assets less liabilities), during the Look-Back Period equals or exceeds 10.0%; provided, however, that in no event will any Income Incentive Fee be paid for any prior quarter after the three-year anniversary of the end of such quarter.</w:t>
      </w:r>
    </w:p>
    <w:p>
      <w:pPr>
        <w:spacing w:after="0" w:line="100" w:lineRule="exact"/>
        <w:rPr>
          <w:sz w:val="20"/>
          <w:szCs w:val="20"/>
          <w:color w:val="auto"/>
        </w:rPr>
      </w:pPr>
    </w:p>
    <w:p>
      <w:pPr>
        <w:jc w:val="both"/>
        <w:ind w:left="1260" w:right="659" w:firstLine="360"/>
        <w:spacing w:after="0" w:line="285" w:lineRule="auto"/>
        <w:rPr>
          <w:sz w:val="20"/>
          <w:szCs w:val="20"/>
          <w:color w:val="auto"/>
        </w:rPr>
      </w:pPr>
      <w:r>
        <w:rPr>
          <w:rFonts w:ascii="Arial" w:cs="Arial" w:eastAsia="Arial" w:hAnsi="Arial"/>
          <w:sz w:val="16"/>
          <w:szCs w:val="16"/>
          <w:color w:val="auto"/>
        </w:rPr>
        <w:t>Under the capital-gains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provided, however, that the Company will not pay the Capital Gains Fee to RGC for any calendar year in which the sum of the Company’s (1) Pre-Incentive Fee net investment income and (2) realized gains less realized losses and unrealized capital depreciation from the date of the Company’s election to be regulated as a BDC through the end of such calendar year, expressed as a rate of return on the value of the Company’s net assets (defined as total assets less liabilities) at the end of such calendar year is less than 8.0% until the first subsequent calendar quarter in which the sum of the Company’s (1) Pre-Incentive Fee net investment income and (2) realized gains less realized losses and unrealized capital depreciation from the date of the Company’s election to be regulated as a BDC through, and including, the end of such subsequent calendar quarter, expressed as a rate of return on the value of the Company’s net assets (defined as total assets less liabilities) at the end of such calendar quarter is equal to or exceeds 8.0%; provided, further, that in no event will any Capital Gains Fee be paid for any prior year after the three-year anniversary of the end of such year. For the foregoing purpose, the Company’s “aggregate cumulative realized capital gains” will not include any unrealized appreciation. If such amount is negative, then no Capital Gains Fee will be payable for such year.</w:t>
      </w: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jc w:val="both"/>
        <w:ind w:left="1260" w:right="679" w:firstLine="360"/>
        <w:spacing w:after="0" w:line="269" w:lineRule="auto"/>
        <w:rPr>
          <w:sz w:val="20"/>
          <w:szCs w:val="20"/>
          <w:color w:val="auto"/>
        </w:rPr>
      </w:pPr>
      <w:r>
        <w:rPr>
          <w:rFonts w:ascii="Arial" w:cs="Arial" w:eastAsia="Arial" w:hAnsi="Arial"/>
          <w:sz w:val="17"/>
          <w:szCs w:val="17"/>
          <w:color w:val="auto"/>
        </w:rPr>
        <w:t>RGC earned incentive fees for the year ended December 31, 2019 of $8,349,449. $6,500,502 of the incentive fees for the year ended December 31, 2019 were earned, payable in cash, and $1,848,947 of the incentive fees for the year ended December 31, 2019 were accrued and generated from deferred interest (i.e., PIK and certain discount accretion) and are not payable pending receipt of cash by the Company. RGC earned incentive fees for the year ended December 31, 2018 of $1,411,324. $711,868 of the incentive fees for the year ended December 31, 2018 were earned, payable in cash, and $359,698 of the incentive fees for the year ended December 31, 2018 were accrued and deferred (i.e., PIK and certain discount accretion) and are not payable pending receipt of cash by the Company. RGC earned no incentive fees for the year ended December 31, 2017. Both currently payable in cash and deferred incentive fees are included in accrued incentive fees on the Statements of Assets and Liabilities as of December 31, 2019 and December 31, 2018.</w:t>
      </w:r>
    </w:p>
    <w:p>
      <w:pPr>
        <w:spacing w:after="0" w:line="104"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8"/>
          <w:szCs w:val="18"/>
          <w:color w:val="auto"/>
        </w:rPr>
        <w:t>The capital gains incentive fee consists of fees related to realized gains, realized capital losses and unrealized capital depreciation. With respect to the incentive fee expense accrual related to the capital gains incentive fee, U.S. GAAP requires that the capital gains invective fee accrual consider the cumulative aggregate unrealized appreciation in the calculation, as a capital gains incentive fee would be payable if such unrealized appreciation were realized even though such unrealized appreciation is not permitted to be considered in calculating the fee actually payable under the Amended Advisory Agreement. As of each of December 31, 2019 and December 31, 2018, there was no capital gains incentive fee accrued, earned or payable to RGC under the Amended Advisory Agreement.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Spin-Off Incentive Fee</w:t>
      </w:r>
    </w:p>
    <w:p>
      <w:pPr>
        <w:spacing w:after="0" w:line="158"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6"/>
          <w:szCs w:val="16"/>
          <w:color w:val="auto"/>
        </w:rPr>
        <w:t>The Income Incentive Fee will be payable in connection with a Spin-Off transaction. The Income Incentive Fee will be calculated as of the date of the completion of each Spin-Off transaction and will equal the amount of Income Incentive Fee that would be payable to RGC if (1) all of the Company’s investments were liquidated for their current value and any unamortized deferred portfolio investment-related fees would be deemed accelerated,</w:t>
      </w:r>
    </w:p>
    <w:p>
      <w:pPr>
        <w:spacing w:after="0" w:line="1" w:lineRule="exact"/>
        <w:rPr>
          <w:sz w:val="20"/>
          <w:szCs w:val="20"/>
          <w:color w:val="auto"/>
        </w:rPr>
      </w:pPr>
    </w:p>
    <w:p>
      <w:pPr>
        <w:jc w:val="both"/>
        <w:ind w:left="1260" w:right="679" w:firstLine="2"/>
        <w:spacing w:after="0" w:line="285" w:lineRule="auto"/>
        <w:tabs>
          <w:tab w:leader="none" w:pos="152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a Spin-Off transaction (x) include the portion of the Income Incentive Fee attributable to deferred interest features of a particular investment that is not transferred pursuant to a Spin-Off transaction until such time as the deferred interest is received in cash, or (y) exceed 20.0% of the Company’s Pre-Incentive Fee net investment income accrued by the Company for the fiscal quarter as of the date of the completion of the Spin-Off transaction. The Company will make the payment of the Income Incentive Fee paid in connection with the completion of a Spin-Off transaction in cash on or immediately following the date of the completion of a Spin-Off transaction. After a Spin-Off transaction, all calculations relating to the incentive fee payable will be made beginning on the day immediately following the completion of the Spin-Off transaction without taking into account the exchanged shares of the Company’s common stock (or contributions, distributions or proceeds relating thereto).</w:t>
      </w:r>
    </w:p>
    <w:p>
      <w:pPr>
        <w:spacing w:after="0" w:line="102" w:lineRule="exact"/>
        <w:rPr>
          <w:sz w:val="20"/>
          <w:szCs w:val="20"/>
          <w:color w:val="auto"/>
        </w:rPr>
      </w:pPr>
    </w:p>
    <w:p>
      <w:pPr>
        <w:jc w:val="both"/>
        <w:ind w:left="1260" w:right="679" w:firstLine="360"/>
        <w:spacing w:after="0" w:line="311" w:lineRule="auto"/>
        <w:rPr>
          <w:sz w:val="20"/>
          <w:szCs w:val="20"/>
          <w:color w:val="auto"/>
        </w:rPr>
      </w:pPr>
      <w:r>
        <w:rPr>
          <w:rFonts w:ascii="Arial" w:cs="Arial" w:eastAsia="Arial" w:hAnsi="Arial"/>
          <w:sz w:val="16"/>
          <w:szCs w:val="16"/>
          <w:color w:val="auto"/>
        </w:rPr>
        <w:t>The Capital Gains Fee will be payable in respect of the exchanged shares of the Company’s common stock in connection with a Spin-Off transaction and will be calculated as of the date of the completion of a Spin-Off transaction as if such date were a calendar year-end for purposes of calculating and paying the Capital Gains Fee.</w:t>
      </w:r>
    </w:p>
    <w:p>
      <w:pPr>
        <w:spacing w:after="0" w:line="68" w:lineRule="exact"/>
        <w:rPr>
          <w:sz w:val="20"/>
          <w:szCs w:val="20"/>
          <w:color w:val="auto"/>
        </w:rPr>
      </w:pPr>
    </w:p>
    <w:p>
      <w:pPr>
        <w:jc w:val="both"/>
        <w:ind w:left="1260" w:right="679" w:firstLine="360"/>
        <w:spacing w:after="0" w:line="273" w:lineRule="auto"/>
        <w:rPr>
          <w:sz w:val="20"/>
          <w:szCs w:val="20"/>
          <w:color w:val="auto"/>
        </w:rPr>
      </w:pPr>
      <w:r>
        <w:rPr>
          <w:rFonts w:ascii="Arial" w:cs="Arial" w:eastAsia="Arial" w:hAnsi="Arial"/>
          <w:sz w:val="17"/>
          <w:szCs w:val="17"/>
          <w:color w:val="auto"/>
        </w:rPr>
        <w:t>No Income Incentive Fee or Capital Gains Fee will be payable in connection with a Spin-Off transaction unless, on the date of the completion of a Spin-Off transaction, the sum of the Company’s (i) Pre-Incentive Fee net investment income and (ii) realized capital gains less realized capital losses and unrealized capital depreciation from the date of the Company’s election to be regulated as a BDC through, and including, the date of the completion of such Spin-Off transaction, is greater than 8.0% of the cumulative net investments made by the Company since the Company’s election to be regulated as a BDC.</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144" w:lineRule="exact"/>
        <w:rPr>
          <w:sz w:val="20"/>
          <w:szCs w:val="20"/>
          <w:color w:val="auto"/>
        </w:rPr>
      </w:pPr>
    </w:p>
    <w:p>
      <w:pPr>
        <w:jc w:val="both"/>
        <w:ind w:left="1260" w:right="679" w:firstLine="360"/>
        <w:spacing w:after="0" w:line="253" w:lineRule="auto"/>
        <w:rPr>
          <w:sz w:val="20"/>
          <w:szCs w:val="20"/>
          <w:color w:val="auto"/>
        </w:rPr>
      </w:pPr>
      <w:r>
        <w:rPr>
          <w:rFonts w:ascii="Arial" w:cs="Arial" w:eastAsia="Arial" w:hAnsi="Arial"/>
          <w:sz w:val="17"/>
          <w:szCs w:val="17"/>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 Pursuant to the terms of the Administration Agreement, the amounts payable to the Administrator by the Company in any fiscal year will not exceed the greater of (i) 0.75% of the aggregate capital commitments as of the end of the most recently completed fiscal year and (ii) $1.0 million.</w:t>
      </w:r>
    </w:p>
    <w:p>
      <w:pPr>
        <w:spacing w:after="0" w:line="113" w:lineRule="exact"/>
        <w:rPr>
          <w:sz w:val="20"/>
          <w:szCs w:val="20"/>
          <w:color w:val="auto"/>
        </w:rPr>
      </w:pPr>
    </w:p>
    <w:p>
      <w:pPr>
        <w:jc w:val="both"/>
        <w:ind w:left="1260" w:right="659" w:firstLine="360"/>
        <w:spacing w:after="0" w:line="252" w:lineRule="auto"/>
        <w:rPr>
          <w:sz w:val="20"/>
          <w:szCs w:val="20"/>
          <w:color w:val="auto"/>
        </w:rPr>
      </w:pPr>
      <w:r>
        <w:rPr>
          <w:rFonts w:ascii="Arial" w:cs="Arial" w:eastAsia="Arial" w:hAnsi="Arial"/>
          <w:sz w:val="17"/>
          <w:szCs w:val="17"/>
          <w:color w:val="auto"/>
        </w:rPr>
        <w:t>The Company reimbursed the Administrator $1,168,188 during the year ended December 31, 2019. As of December 31, 2019, the Company had accrued a net payable to the Administrator of $81,537. Of the total amount reimbursed to the Administrator, $827,464 was related to overhead allocation expense for the year ended December 31, 2019. The Company reimbursed the Administrator $614,405 during the year ended December 31, 2018. As of December 31, 2018, the Company had accrued a net payable to the Administrator of $116,697. Of the total amount reimbursed to the Administrator, $380,064 was related to overhead allocation expense for the year ended December 31, 2018. The Company reimbursed the Administrator $1,009,680 during the year ended December 31, 2017. As of December 31, 2017, the Company had accrued a payable to the Administrator of $11,954. Of the total amount reimbursed to the Administrator, $305,650 was related to overhead allocation expense for the year ended December 31, 2017. Administration fees were $490,022, $209,761 and $125,000 for the years ended December 31, 2019, 2018 and 2017 respectively.</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58" w:lineRule="exact"/>
        <w:rPr>
          <w:sz w:val="20"/>
          <w:szCs w:val="20"/>
          <w:color w:val="auto"/>
        </w:rPr>
      </w:pPr>
    </w:p>
    <w:p>
      <w:pPr>
        <w:jc w:val="both"/>
        <w:ind w:left="1260" w:right="679" w:firstLine="360"/>
        <w:spacing w:after="0"/>
        <w:rPr>
          <w:sz w:val="20"/>
          <w:szCs w:val="20"/>
          <w:color w:val="auto"/>
        </w:rPr>
      </w:pPr>
      <w:r>
        <w:rPr>
          <w:rFonts w:ascii="Arial" w:cs="Arial" w:eastAsia="Arial" w:hAnsi="Arial"/>
          <w:sz w:val="18"/>
          <w:szCs w:val="18"/>
          <w:color w:val="auto"/>
        </w:rPr>
        <w:t>The Company has entered into a license agreement with RGC (the “License Agreement”) pursuant to which RGC has granted the Company a personal, non-exclusive, royalty-free right and license to use the name “Runway Growth Credit Fund”. Under the License Agreement, the Company has the right to use the “Runway Growth Credit Fund” name for so long as RGC or one of its affiliates remains the Company’s investment adviser. Other than with respect to this limited license, the Company has no legal right to the “Runway Growth Credit Fund” name.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Oaktree Strategic Relationship</w:t>
      </w:r>
    </w:p>
    <w:p>
      <w:pPr>
        <w:spacing w:after="0" w:line="144" w:lineRule="exact"/>
        <w:rPr>
          <w:sz w:val="20"/>
          <w:szCs w:val="20"/>
          <w:color w:val="auto"/>
        </w:rPr>
      </w:pPr>
    </w:p>
    <w:p>
      <w:pPr>
        <w:jc w:val="both"/>
        <w:ind w:left="1260" w:right="659" w:firstLine="360"/>
        <w:spacing w:after="0" w:line="254" w:lineRule="auto"/>
        <w:rPr>
          <w:sz w:val="20"/>
          <w:szCs w:val="20"/>
          <w:color w:val="auto"/>
        </w:rPr>
      </w:pPr>
      <w:r>
        <w:rPr>
          <w:rFonts w:ascii="Arial" w:cs="Arial" w:eastAsia="Arial" w:hAnsi="Arial"/>
          <w:sz w:val="17"/>
          <w:szCs w:val="17"/>
          <w:color w:val="auto"/>
        </w:rPr>
        <w:t>In December 2016, RGC entered into a strategic relationship with Oaktree Capital Management, L.P. (“Oaktree”). In connection with the strategic relationship, OCM Growth Holdings, LLC, a Delaware limited liability company (“OCM”) managed by Oaktree, made an initial $125.0 million capital commitment to the Company, which was subsequently increased to $139.0 million (the “Initial OCM Commitment”). On June 14, 2019, the Company accepted a capital commitment from OCM in the amount of $112.5 million (the “Subsequent OCM Commitment” and, together with the Initial OCM Commitment, the “OCM Commitment”). OCM has granted a proxy to the Company pursuant to which the shares held by OCM will be voted in the same proportion as the Company’s other stockholders vote their shares.</w:t>
      </w:r>
    </w:p>
    <w:p>
      <w:pPr>
        <w:spacing w:after="0" w:line="113" w:lineRule="exact"/>
        <w:rPr>
          <w:sz w:val="20"/>
          <w:szCs w:val="20"/>
          <w:color w:val="auto"/>
        </w:rPr>
      </w:pPr>
    </w:p>
    <w:p>
      <w:pPr>
        <w:jc w:val="both"/>
        <w:ind w:left="1260" w:right="679" w:firstLine="360"/>
        <w:spacing w:after="0"/>
        <w:rPr>
          <w:sz w:val="20"/>
          <w:szCs w:val="20"/>
          <w:color w:val="auto"/>
        </w:rPr>
      </w:pPr>
      <w:r>
        <w:rPr>
          <w:rFonts w:ascii="Arial" w:cs="Arial" w:eastAsia="Arial" w:hAnsi="Arial"/>
          <w:sz w:val="18"/>
          <w:szCs w:val="18"/>
          <w:color w:val="auto"/>
        </w:rPr>
        <w:t>In connection with the OCM Commitment, the Company entered into a stockholder agreement, dated December 15, 2016, with OCM, pursuant to which OCM has a right to nominate a member of the Company’s Board of Directors for election. Brian Laibow was appointed to the Company’s Board of Directors as OCM’s representative. OCM also holds an interest in RGC and has the right to appoint a member of RGC’s board of managers and a member of RGC’s investment committee. Brian Laibow is OCM’s initial appointee to RGC’s board of managers and investment committee.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Fair Value Measurements</w:t>
      </w:r>
    </w:p>
    <w:p>
      <w:pPr>
        <w:spacing w:after="0" w:line="162" w:lineRule="exact"/>
        <w:rPr>
          <w:sz w:val="20"/>
          <w:szCs w:val="20"/>
          <w:color w:val="auto"/>
        </w:rPr>
      </w:pPr>
    </w:p>
    <w:p>
      <w:pPr>
        <w:jc w:val="both"/>
        <w:ind w:left="1260" w:right="679" w:firstLine="360"/>
        <w:spacing w:after="0" w:line="261" w:lineRule="auto"/>
        <w:rPr>
          <w:sz w:val="20"/>
          <w:szCs w:val="20"/>
          <w:color w:val="auto"/>
        </w:rPr>
      </w:pPr>
      <w:r>
        <w:rPr>
          <w:rFonts w:ascii="Arial" w:cs="Arial" w:eastAsia="Arial" w:hAnsi="Arial"/>
          <w:sz w:val="18"/>
          <w:szCs w:val="18"/>
          <w:color w:val="auto"/>
        </w:rPr>
        <w:t>The Company’s assets recorded at fair value have been categorized based upon a fair value hierarchy in accordance with ASC Topic 820. See Note 2 for discussion of the Company’s policies.</w:t>
      </w:r>
    </w:p>
    <w:p>
      <w:pPr>
        <w:sectPr>
          <w:pgSz w:w="11900" w:h="16838" w:orient="portrait"/>
          <w:cols w:equalWidth="0" w:num="1">
            <w:col w:w="10139"/>
          </w:cols>
          <w:pgMar w:left="32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68065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9" w:name="page110"/>
    <w:bookmarkEnd w:id="109"/>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tables present information about the Company’s assets measured at fair value as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2019 and 2018, respectively:</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7"/>
          </w:tcPr>
          <w:p>
            <w:pPr>
              <w:ind w:left="60"/>
              <w:spacing w:after="0"/>
              <w:rPr>
                <w:sz w:val="20"/>
                <w:szCs w:val="20"/>
                <w:color w:val="auto"/>
              </w:rPr>
            </w:pPr>
            <w:r>
              <w:rPr>
                <w:rFonts w:ascii="Arial" w:cs="Arial" w:eastAsia="Arial" w:hAnsi="Arial"/>
                <w:sz w:val="14"/>
                <w:szCs w:val="14"/>
                <w:b w:val="1"/>
                <w:bCs w:val="1"/>
                <w:color w:val="auto"/>
              </w:rPr>
              <w:t>As of December 31, 2019</w:t>
            </w:r>
          </w:p>
        </w:tc>
        <w:tc>
          <w:tcPr>
            <w:tcW w:w="1000" w:type="dxa"/>
            <w:vAlign w:val="bottom"/>
          </w:tcPr>
          <w:p>
            <w:pPr>
              <w:spacing w:after="0"/>
              <w:rPr>
                <w:sz w:val="16"/>
                <w:szCs w:val="16"/>
                <w:color w:val="auto"/>
              </w:rPr>
            </w:pPr>
          </w:p>
        </w:tc>
      </w:tr>
      <w:tr>
        <w:trPr>
          <w:trHeight w:val="26"/>
        </w:trPr>
        <w:tc>
          <w:tcPr>
            <w:tcW w:w="4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6"/>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7"/>
        </w:trPr>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53"/>
              <w:spacing w:after="0"/>
              <w:rPr>
                <w:sz w:val="20"/>
                <w:szCs w:val="20"/>
                <w:color w:val="auto"/>
              </w:rPr>
            </w:pPr>
            <w:r>
              <w:rPr>
                <w:rFonts w:ascii="Arial" w:cs="Arial" w:eastAsia="Arial" w:hAnsi="Arial"/>
                <w:sz w:val="14"/>
                <w:szCs w:val="14"/>
                <w:b w:val="1"/>
                <w:bCs w:val="1"/>
                <w:color w:val="auto"/>
              </w:rPr>
              <w:t>Level 1</w:t>
            </w:r>
          </w:p>
        </w:tc>
        <w:tc>
          <w:tcPr>
            <w:tcW w:w="900" w:type="dxa"/>
            <w:vAlign w:val="bottom"/>
            <w:gridSpan w:val="6"/>
          </w:tcPr>
          <w:p>
            <w:pPr>
              <w:ind w:left="200"/>
              <w:spacing w:after="0"/>
              <w:rPr>
                <w:sz w:val="20"/>
                <w:szCs w:val="20"/>
                <w:color w:val="auto"/>
              </w:rPr>
            </w:pPr>
            <w:r>
              <w:rPr>
                <w:rFonts w:ascii="Arial" w:cs="Arial" w:eastAsia="Arial" w:hAnsi="Arial"/>
                <w:sz w:val="14"/>
                <w:szCs w:val="14"/>
                <w:b w:val="1"/>
                <w:bCs w:val="1"/>
                <w:color w:val="auto"/>
              </w:rPr>
              <w:t>Level 2</w:t>
            </w:r>
          </w:p>
        </w:tc>
        <w:tc>
          <w:tcPr>
            <w:tcW w:w="1220" w:type="dxa"/>
            <w:vAlign w:val="bottom"/>
            <w:gridSpan w:val="3"/>
          </w:tcPr>
          <w:p>
            <w:pPr>
              <w:ind w:left="260"/>
              <w:spacing w:after="0"/>
              <w:rPr>
                <w:sz w:val="20"/>
                <w:szCs w:val="20"/>
                <w:color w:val="auto"/>
              </w:rPr>
            </w:pPr>
            <w:r>
              <w:rPr>
                <w:rFonts w:ascii="Arial" w:cs="Arial" w:eastAsia="Arial" w:hAnsi="Arial"/>
                <w:sz w:val="14"/>
                <w:szCs w:val="14"/>
                <w:b w:val="1"/>
                <w:bCs w:val="1"/>
                <w:color w:val="auto"/>
              </w:rPr>
              <w:t>Level 3</w:t>
            </w: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6"/>
        </w:trPr>
        <w:tc>
          <w:tcPr>
            <w:tcW w:w="4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57"/>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Senior Secured Term 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4"/>
          </w:tcPr>
          <w:p>
            <w:pPr>
              <w:jc w:val="right"/>
              <w:ind w:right="3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7"/>
              </w:rPr>
              <w:t>$349,570,424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$349,570,424</w:t>
            </w:r>
          </w:p>
        </w:tc>
      </w:tr>
      <w:tr>
        <w:trPr>
          <w:trHeight w:val="257"/>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437,515</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437,515</w:t>
            </w:r>
          </w:p>
        </w:tc>
      </w:tr>
      <w:tr>
        <w:trPr>
          <w:trHeight w:val="263"/>
        </w:trPr>
        <w:tc>
          <w:tcPr>
            <w:tcW w:w="4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Warrants</w:t>
            </w: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18,008,337</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18,008,337</w:t>
            </w:r>
          </w:p>
        </w:tc>
      </w:tr>
      <w:tr>
        <w:trPr>
          <w:trHeight w:val="257"/>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368,016,276</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368,016,276</w:t>
            </w:r>
          </w:p>
        </w:tc>
      </w:tr>
      <w:tr>
        <w:trPr>
          <w:trHeight w:val="26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U.S. Treasury Bill</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99,965,423</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spacing w:after="0"/>
              <w:rPr>
                <w:sz w:val="22"/>
                <w:szCs w:val="22"/>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99,965,423</w:t>
            </w:r>
          </w:p>
        </w:tc>
      </w:tr>
      <w:tr>
        <w:trPr>
          <w:trHeight w:val="257"/>
        </w:trPr>
        <w:tc>
          <w:tcPr>
            <w:tcW w:w="4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99,965,423</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bottom w:val="single" w:sz="8" w:color="CCEEFF"/>
            </w:tcBorders>
            <w:gridSpan w:val="3"/>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368,016,276</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467,981,699</w:t>
            </w: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41"/>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7"/>
          </w:tcPr>
          <w:p>
            <w:pPr>
              <w:ind w:left="60"/>
              <w:spacing w:after="0"/>
              <w:rPr>
                <w:sz w:val="20"/>
                <w:szCs w:val="20"/>
                <w:color w:val="auto"/>
              </w:rPr>
            </w:pPr>
            <w:r>
              <w:rPr>
                <w:rFonts w:ascii="Arial" w:cs="Arial" w:eastAsia="Arial" w:hAnsi="Arial"/>
                <w:sz w:val="14"/>
                <w:szCs w:val="14"/>
                <w:b w:val="1"/>
                <w:bCs w:val="1"/>
                <w:color w:val="auto"/>
              </w:rPr>
              <w:t>As of December 31, 2018</w:t>
            </w:r>
          </w:p>
        </w:tc>
        <w:tc>
          <w:tcPr>
            <w:tcW w:w="1000" w:type="dxa"/>
            <w:vAlign w:val="bottom"/>
          </w:tcPr>
          <w:p>
            <w:pPr>
              <w:spacing w:after="0"/>
              <w:rPr>
                <w:sz w:val="24"/>
                <w:szCs w:val="24"/>
                <w:color w:val="auto"/>
              </w:rPr>
            </w:pPr>
          </w:p>
        </w:tc>
      </w:tr>
      <w:tr>
        <w:trPr>
          <w:trHeight w:val="26"/>
        </w:trPr>
        <w:tc>
          <w:tcPr>
            <w:tcW w:w="4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6"/>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8"/>
        </w:trPr>
        <w:tc>
          <w:tcPr>
            <w:tcW w:w="4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53"/>
              <w:spacing w:after="0"/>
              <w:rPr>
                <w:sz w:val="20"/>
                <w:szCs w:val="20"/>
                <w:color w:val="auto"/>
              </w:rPr>
            </w:pPr>
            <w:r>
              <w:rPr>
                <w:rFonts w:ascii="Arial" w:cs="Arial" w:eastAsia="Arial" w:hAnsi="Arial"/>
                <w:sz w:val="14"/>
                <w:szCs w:val="14"/>
                <w:b w:val="1"/>
                <w:bCs w:val="1"/>
                <w:color w:val="auto"/>
              </w:rPr>
              <w:t>Level 1</w:t>
            </w:r>
          </w:p>
        </w:tc>
        <w:tc>
          <w:tcPr>
            <w:tcW w:w="900" w:type="dxa"/>
            <w:vAlign w:val="bottom"/>
            <w:gridSpan w:val="6"/>
          </w:tcPr>
          <w:p>
            <w:pPr>
              <w:ind w:left="200"/>
              <w:spacing w:after="0"/>
              <w:rPr>
                <w:sz w:val="20"/>
                <w:szCs w:val="20"/>
                <w:color w:val="auto"/>
              </w:rPr>
            </w:pPr>
            <w:r>
              <w:rPr>
                <w:rFonts w:ascii="Arial" w:cs="Arial" w:eastAsia="Arial" w:hAnsi="Arial"/>
                <w:sz w:val="14"/>
                <w:szCs w:val="14"/>
                <w:b w:val="1"/>
                <w:bCs w:val="1"/>
                <w:color w:val="auto"/>
              </w:rPr>
              <w:t>Level 2</w:t>
            </w:r>
          </w:p>
        </w:tc>
        <w:tc>
          <w:tcPr>
            <w:tcW w:w="1220" w:type="dxa"/>
            <w:vAlign w:val="bottom"/>
            <w:gridSpan w:val="3"/>
          </w:tcPr>
          <w:p>
            <w:pPr>
              <w:ind w:left="260"/>
              <w:spacing w:after="0"/>
              <w:rPr>
                <w:sz w:val="20"/>
                <w:szCs w:val="20"/>
                <w:color w:val="auto"/>
              </w:rPr>
            </w:pPr>
            <w:r>
              <w:rPr>
                <w:rFonts w:ascii="Arial" w:cs="Arial" w:eastAsia="Arial" w:hAnsi="Arial"/>
                <w:sz w:val="14"/>
                <w:szCs w:val="14"/>
                <w:b w:val="1"/>
                <w:bCs w:val="1"/>
                <w:color w:val="auto"/>
              </w:rPr>
              <w:t>Level 3</w:t>
            </w: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6"/>
        </w:trPr>
        <w:tc>
          <w:tcPr>
            <w:tcW w:w="4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57"/>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Senior Secured Term 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4"/>
          </w:tcPr>
          <w:p>
            <w:pPr>
              <w:jc w:val="right"/>
              <w:ind w:right="3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7"/>
              </w:rPr>
              <w:t>$208,539,353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$208,539,353</w:t>
            </w:r>
          </w:p>
        </w:tc>
      </w:tr>
      <w:tr>
        <w:trPr>
          <w:trHeight w:val="257"/>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461,826</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461,826</w:t>
            </w:r>
          </w:p>
        </w:tc>
      </w:tr>
      <w:tr>
        <w:trPr>
          <w:trHeight w:val="263"/>
        </w:trPr>
        <w:tc>
          <w:tcPr>
            <w:tcW w:w="4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Warrants</w:t>
            </w: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15,247,210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15,247,210</w:t>
            </w:r>
          </w:p>
        </w:tc>
      </w:tr>
      <w:tr>
        <w:trPr>
          <w:trHeight w:val="257"/>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224,248,389</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224,248,389</w:t>
            </w:r>
          </w:p>
        </w:tc>
      </w:tr>
      <w:tr>
        <w:trPr>
          <w:trHeight w:val="26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U.S. Treasury Bill</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79,959,928</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spacing w:after="0"/>
              <w:rPr>
                <w:sz w:val="22"/>
                <w:szCs w:val="22"/>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79,959,928</w:t>
            </w:r>
          </w:p>
        </w:tc>
      </w:tr>
      <w:tr>
        <w:trPr>
          <w:trHeight w:val="264"/>
        </w:trPr>
        <w:tc>
          <w:tcPr>
            <w:tcW w:w="4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79,959,928</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bottom w:val="single" w:sz="8" w:color="CCEEFF"/>
            </w:tcBorders>
            <w:gridSpan w:val="3"/>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$224,248,389</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$304,208,317</w:t>
            </w: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-1876425</wp:posOffset>
            </wp:positionV>
            <wp:extent cx="1454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-1876425</wp:posOffset>
            </wp:positionV>
            <wp:extent cx="37973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79730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-2219325</wp:posOffset>
            </wp:positionV>
            <wp:extent cx="1454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-2219325</wp:posOffset>
            </wp:positionV>
            <wp:extent cx="37973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79730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-2888615</wp:posOffset>
            </wp:positionV>
            <wp:extent cx="137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-2888615</wp:posOffset>
            </wp:positionV>
            <wp:extent cx="1371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-2888615</wp:posOffset>
            </wp:positionV>
            <wp:extent cx="336867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867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-205105</wp:posOffset>
            </wp:positionV>
            <wp:extent cx="1454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37973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79730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-548005</wp:posOffset>
            </wp:positionV>
            <wp:extent cx="1454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-548005</wp:posOffset>
            </wp:positionV>
            <wp:extent cx="37973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79730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-1216660</wp:posOffset>
            </wp:positionV>
            <wp:extent cx="137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-1216660</wp:posOffset>
            </wp:positionV>
            <wp:extent cx="137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-1216660</wp:posOffset>
            </wp:positionV>
            <wp:extent cx="336867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95" w:lineRule="exact"/>
        <w:rPr>
          <w:sz w:val="20"/>
          <w:szCs w:val="20"/>
          <w:color w:val="auto"/>
        </w:rPr>
      </w:pPr>
    </w:p>
    <w:p>
      <w:pPr>
        <w:jc w:val="both"/>
        <w:ind w:left="1260" w:right="679" w:firstLine="360"/>
        <w:spacing w:after="0" w:line="311" w:lineRule="auto"/>
        <w:rPr>
          <w:sz w:val="20"/>
          <w:szCs w:val="20"/>
          <w:color w:val="auto"/>
        </w:rPr>
      </w:pPr>
      <w:r>
        <w:rPr>
          <w:rFonts w:ascii="Arial" w:cs="Arial" w:eastAsia="Arial" w:hAnsi="Arial"/>
          <w:sz w:val="16"/>
          <w:szCs w:val="16"/>
          <w:color w:val="auto"/>
        </w:rPr>
        <w:t>The Company recognizes transfers into and out of the levels indicated above at the end of the reporting period. There were no transfers into or out of the levels during the years ended December 31, 2019 and 2018. The following table presents a rollforward of Level 3 assets measured at fair value as of December 31, 2019:</w:t>
      </w:r>
    </w:p>
    <w:p>
      <w:pPr>
        <w:spacing w:after="0" w:line="12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Preferred</w:t>
            </w:r>
          </w:p>
        </w:tc>
        <w:tc>
          <w:tcPr>
            <w:tcW w:w="13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Senior Secured</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Term Loans</w:t>
            </w:r>
          </w:p>
        </w:tc>
        <w:tc>
          <w:tcPr>
            <w:tcW w:w="8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6"/>
                <w:szCs w:val="16"/>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19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at December 31, 2018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$461,826</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208,539,353</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15,247,210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224,248,389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800" w:type="dxa"/>
            <w:vAlign w:val="bottom"/>
            <w:gridSpan w:val="3"/>
          </w:tcPr>
          <w:p>
            <w:pPr>
              <w:spacing w:after="0"/>
              <w:rPr>
                <w:sz w:val="20"/>
                <w:szCs w:val="20"/>
                <w:color w:val="auto"/>
              </w:rPr>
            </w:pPr>
            <w:r>
              <w:rPr>
                <w:rFonts w:ascii="Arial" w:cs="Arial" w:eastAsia="Arial" w:hAnsi="Arial"/>
                <w:sz w:val="18"/>
                <w:szCs w:val="18"/>
                <w:color w:val="auto"/>
              </w:rPr>
              <w:t>Amortization of fixed income premiums or</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0" w:type="dxa"/>
            <w:vAlign w:val="bottom"/>
            <w:gridSpan w:val="3"/>
          </w:tcPr>
          <w:p>
            <w:pPr>
              <w:ind w:left="180"/>
              <w:spacing w:after="0"/>
              <w:rPr>
                <w:sz w:val="20"/>
                <w:szCs w:val="20"/>
                <w:color w:val="auto"/>
              </w:rPr>
            </w:pPr>
            <w:r>
              <w:rPr>
                <w:rFonts w:ascii="Arial" w:cs="Arial" w:eastAsia="Arial" w:hAnsi="Arial"/>
                <w:sz w:val="18"/>
                <w:szCs w:val="18"/>
                <w:color w:val="auto"/>
              </w:rPr>
              <w:t>discounts</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12,878,530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12,878,530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800" w:type="dxa"/>
            <w:vAlign w:val="bottom"/>
            <w:gridSpan w:val="3"/>
            <w:shd w:val="clear" w:color="auto" w:fill="CCEEFF"/>
          </w:tcPr>
          <w:p>
            <w:pPr>
              <w:spacing w:after="0" w:line="290" w:lineRule="exact"/>
              <w:rPr>
                <w:sz w:val="20"/>
                <w:szCs w:val="20"/>
                <w:color w:val="auto"/>
              </w:rPr>
            </w:pPr>
            <w:r>
              <w:rPr>
                <w:rFonts w:ascii="Arial" w:cs="Arial" w:eastAsia="Arial" w:hAnsi="Arial"/>
                <w:sz w:val="18"/>
                <w:szCs w:val="18"/>
                <w:color w:val="auto"/>
              </w:rPr>
              <w:t>Purchases of investments</w:t>
            </w:r>
            <w:r>
              <w:rPr>
                <w:rFonts w:ascii="Arial" w:cs="Arial" w:eastAsia="Arial" w:hAnsi="Arial"/>
                <w:sz w:val="26"/>
                <w:szCs w:val="26"/>
                <w:color w:val="auto"/>
                <w:vertAlign w:val="superscript"/>
              </w:rPr>
              <w:t>(1)</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236,997,789</w:t>
            </w: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6,001,426</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242,999,215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0" w:type="dxa"/>
            <w:vAlign w:val="bottom"/>
            <w:gridSpan w:val="3"/>
          </w:tcPr>
          <w:p>
            <w:pPr>
              <w:spacing w:after="0" w:line="297" w:lineRule="exact"/>
              <w:rPr>
                <w:sz w:val="20"/>
                <w:szCs w:val="20"/>
                <w:color w:val="auto"/>
              </w:rPr>
            </w:pPr>
            <w:r>
              <w:rPr>
                <w:rFonts w:ascii="Arial" w:cs="Arial" w:eastAsia="Arial" w:hAnsi="Arial"/>
                <w:sz w:val="18"/>
                <w:szCs w:val="18"/>
                <w:color w:val="auto"/>
              </w:rPr>
              <w:t>Sales of investments</w:t>
            </w:r>
            <w:r>
              <w:rPr>
                <w:rFonts w:ascii="Arial" w:cs="Arial" w:eastAsia="Arial" w:hAnsi="Arial"/>
                <w:sz w:val="26"/>
                <w:szCs w:val="26"/>
                <w:color w:val="auto"/>
                <w:vertAlign w:val="superscript"/>
              </w:rPr>
              <w:t>(1)</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(100,079,608)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(2,859,301)</w:t>
            </w: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0"/>
              </w:rPr>
              <w:t>(102,938,909)</w:t>
            </w:r>
          </w:p>
        </w:tc>
        <w:tc>
          <w:tcPr>
            <w:tcW w:w="0" w:type="dxa"/>
            <w:vAlign w:val="bottom"/>
          </w:tcPr>
          <w:p>
            <w:pPr>
              <w:spacing w:after="0"/>
              <w:rPr>
                <w:sz w:val="1"/>
                <w:szCs w:val="1"/>
                <w:color w:val="auto"/>
              </w:rPr>
            </w:pPr>
          </w:p>
        </w:tc>
      </w:tr>
      <w:tr>
        <w:trPr>
          <w:trHeight w:val="284"/>
        </w:trPr>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gain</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228,171</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800" w:type="dxa"/>
            <w:vAlign w:val="bottom"/>
            <w:gridSpan w:val="3"/>
          </w:tcPr>
          <w:p>
            <w:pPr>
              <w:spacing w:after="0"/>
              <w:rPr>
                <w:sz w:val="20"/>
                <w:szCs w:val="20"/>
                <w:color w:val="auto"/>
              </w:rPr>
            </w:pPr>
            <w:r>
              <w:rPr>
                <w:rFonts w:ascii="Arial" w:cs="Arial" w:eastAsia="Arial" w:hAnsi="Arial"/>
                <w:sz w:val="18"/>
                <w:szCs w:val="18"/>
                <w:color w:val="auto"/>
              </w:rPr>
              <w:t>Change in unrealized gain (loss)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(24,311)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(8,765,640)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(609,169)</w:t>
            </w: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(9,399,120)</w:t>
            </w:r>
          </w:p>
        </w:tc>
        <w:tc>
          <w:tcPr>
            <w:tcW w:w="0" w:type="dxa"/>
            <w:vAlign w:val="bottom"/>
          </w:tcPr>
          <w:p>
            <w:pPr>
              <w:spacing w:after="0"/>
              <w:rPr>
                <w:sz w:val="1"/>
                <w:szCs w:val="1"/>
                <w:color w:val="auto"/>
              </w:rPr>
            </w:pPr>
          </w:p>
        </w:tc>
      </w:tr>
      <w:tr>
        <w:trPr>
          <w:trHeight w:val="290"/>
        </w:trPr>
        <w:tc>
          <w:tcPr>
            <w:tcW w:w="38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Fair value at December 31, 2019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$437,515</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349,570,424</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18,008,337</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368,016,276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0" w:type="dxa"/>
            <w:vAlign w:val="bottom"/>
            <w:gridSpan w:val="3"/>
            <w:vMerge w:val="restart"/>
          </w:tcPr>
          <w:p>
            <w:pPr>
              <w:spacing w:after="0"/>
              <w:rPr>
                <w:sz w:val="20"/>
                <w:szCs w:val="20"/>
                <w:color w:val="auto"/>
              </w:rPr>
            </w:pPr>
            <w:r>
              <w:rPr>
                <w:rFonts w:ascii="Arial" w:cs="Arial" w:eastAsia="Arial" w:hAnsi="Arial"/>
                <w:sz w:val="18"/>
                <w:szCs w:val="18"/>
                <w:color w:val="auto"/>
              </w:rPr>
              <w:t>Change in unrealized gain (loss) on Level 3</w:t>
            </w: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800" w:type="dxa"/>
            <w:vAlign w:val="bottom"/>
            <w:gridSpan w:val="3"/>
            <w:vMerge w:val="continue"/>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gridSpan w:val="3"/>
          </w:tcPr>
          <w:p>
            <w:pPr>
              <w:ind w:left="180"/>
              <w:spacing w:after="0"/>
              <w:rPr>
                <w:sz w:val="20"/>
                <w:szCs w:val="20"/>
                <w:color w:val="auto"/>
              </w:rPr>
            </w:pPr>
            <w:r>
              <w:rPr>
                <w:rFonts w:ascii="Arial" w:cs="Arial" w:eastAsia="Arial" w:hAnsi="Arial"/>
                <w:sz w:val="18"/>
                <w:szCs w:val="18"/>
                <w:color w:val="auto"/>
                <w:w w:val="96"/>
              </w:rPr>
              <w:t>investments still held as of December 31, 2019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 (24,311)</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(8,519,560)</w:t>
            </w: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728,460</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(7,815,411)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40" w:type="dxa"/>
            <w:vAlign w:val="bottom"/>
            <w:tcBorders>
              <w:bottom w:val="single" w:sz="8" w:color="auto"/>
            </w:tcBorders>
          </w:tcPr>
          <w:p>
            <w:pPr>
              <w:spacing w:after="0"/>
              <w:rPr>
                <w:sz w:val="6"/>
                <w:szCs w:val="6"/>
                <w:color w:val="auto"/>
              </w:rPr>
            </w:pPr>
          </w:p>
        </w:tc>
        <w:tc>
          <w:tcPr>
            <w:tcW w:w="18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-616585</wp:posOffset>
            </wp:positionV>
            <wp:extent cx="14541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-616585</wp:posOffset>
            </wp:positionV>
            <wp:extent cx="14605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-616585</wp:posOffset>
            </wp:positionV>
            <wp:extent cx="299148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99148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-1842135</wp:posOffset>
            </wp:positionV>
            <wp:extent cx="137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-1842135</wp:posOffset>
            </wp:positionV>
            <wp:extent cx="137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-1842135</wp:posOffset>
            </wp:positionV>
            <wp:extent cx="298323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4" w:lineRule="exact"/>
        <w:rPr>
          <w:sz w:val="20"/>
          <w:szCs w:val="20"/>
          <w:color w:val="auto"/>
        </w:rPr>
      </w:pPr>
    </w:p>
    <w:p>
      <w:pPr>
        <w:ind w:left="5240" w:right="3459" w:hanging="3978"/>
        <w:spacing w:after="0" w:line="950" w:lineRule="auto"/>
        <w:tabs>
          <w:tab w:leader="none" w:pos="1631"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PIK interest, reorganization and restructuring of investments.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80656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following table presents a rollforward of Level 3 assets measured at fair value as of December 31, 2018:</w:t>
      </w:r>
    </w:p>
    <w:p>
      <w:pPr>
        <w:spacing w:after="0" w:line="21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Preferred</w:t>
            </w:r>
          </w:p>
        </w:tc>
        <w:tc>
          <w:tcPr>
            <w:tcW w:w="1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Senior Secured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6"/>
                <w:szCs w:val="16"/>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Term Loans</w:t>
            </w:r>
          </w:p>
        </w:tc>
        <w:tc>
          <w:tcPr>
            <w:tcW w:w="100" w:type="dxa"/>
            <w:vAlign w:val="bottom"/>
          </w:tcPr>
          <w:p>
            <w:pPr>
              <w:spacing w:after="0"/>
              <w:rPr>
                <w:sz w:val="16"/>
                <w:szCs w:val="16"/>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6"/>
                <w:szCs w:val="16"/>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at December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63,977,756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4,239,103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68,216,859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80" w:type="dxa"/>
            <w:vAlign w:val="bottom"/>
            <w:gridSpan w:val="3"/>
          </w:tcPr>
          <w:p>
            <w:pPr>
              <w:spacing w:after="0"/>
              <w:rPr>
                <w:sz w:val="20"/>
                <w:szCs w:val="20"/>
                <w:color w:val="auto"/>
              </w:rPr>
            </w:pPr>
            <w:r>
              <w:rPr>
                <w:rFonts w:ascii="Arial" w:cs="Arial" w:eastAsia="Arial" w:hAnsi="Arial"/>
                <w:sz w:val="18"/>
                <w:szCs w:val="18"/>
                <w:color w:val="auto"/>
                <w:w w:val="98"/>
              </w:rPr>
              <w:t>Amortization of fixed income premiums or discounts</w:t>
            </w:r>
          </w:p>
        </w:tc>
        <w:tc>
          <w:tcPr>
            <w:tcW w:w="100" w:type="dxa"/>
            <w:vAlign w:val="bottom"/>
          </w:tcPr>
          <w:p>
            <w:pPr>
              <w:spacing w:after="0"/>
              <w:rPr>
                <w:sz w:val="22"/>
                <w:szCs w:val="2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4,621,487</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4,621,487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080" w:type="dxa"/>
            <w:vAlign w:val="bottom"/>
            <w:gridSpan w:val="3"/>
            <w:shd w:val="clear" w:color="auto" w:fill="CCEEFF"/>
          </w:tcPr>
          <w:p>
            <w:pPr>
              <w:spacing w:after="0" w:line="290" w:lineRule="exact"/>
              <w:rPr>
                <w:sz w:val="20"/>
                <w:szCs w:val="20"/>
                <w:color w:val="auto"/>
              </w:rPr>
            </w:pPr>
            <w:r>
              <w:rPr>
                <w:rFonts w:ascii="Arial" w:cs="Arial" w:eastAsia="Arial" w:hAnsi="Arial"/>
                <w:sz w:val="18"/>
                <w:szCs w:val="18"/>
                <w:color w:val="auto"/>
              </w:rPr>
              <w:t>Purchases of investments</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250,000</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157,577,521</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11,212,530</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169,040,051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80" w:type="dxa"/>
            <w:vAlign w:val="bottom"/>
            <w:gridSpan w:val="3"/>
          </w:tcPr>
          <w:p>
            <w:pPr>
              <w:spacing w:after="0" w:line="297" w:lineRule="exact"/>
              <w:rPr>
                <w:sz w:val="20"/>
                <w:szCs w:val="20"/>
                <w:color w:val="auto"/>
              </w:rPr>
            </w:pPr>
            <w:r>
              <w:rPr>
                <w:rFonts w:ascii="Arial" w:cs="Arial" w:eastAsia="Arial" w:hAnsi="Arial"/>
                <w:sz w:val="18"/>
                <w:szCs w:val="18"/>
                <w:color w:val="auto"/>
              </w:rPr>
              <w:t>Sales of investments</w:t>
            </w:r>
            <w:r>
              <w:rPr>
                <w:rFonts w:ascii="Arial" w:cs="Arial" w:eastAsia="Arial" w:hAnsi="Arial"/>
                <w:sz w:val="26"/>
                <w:szCs w:val="26"/>
                <w:color w:val="auto"/>
                <w:vertAlign w:val="superscript"/>
              </w:rPr>
              <w:t>(1)</w:t>
            </w: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(17,588,385)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(92,722)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4"/>
              </w:rPr>
              <w:t>(17,681,107)</w:t>
            </w:r>
          </w:p>
        </w:tc>
        <w:tc>
          <w:tcPr>
            <w:tcW w:w="0" w:type="dxa"/>
            <w:vAlign w:val="bottom"/>
          </w:tcPr>
          <w:p>
            <w:pPr>
              <w:spacing w:after="0"/>
              <w:rPr>
                <w:sz w:val="1"/>
                <w:szCs w:val="1"/>
                <w:color w:val="auto"/>
              </w:rPr>
            </w:pPr>
          </w:p>
        </w:tc>
      </w:tr>
      <w:tr>
        <w:trPr>
          <w:trHeight w:val="283"/>
        </w:trPr>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gain</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59,792</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80" w:type="dxa"/>
            <w:vAlign w:val="bottom"/>
            <w:gridSpan w:val="3"/>
          </w:tcPr>
          <w:p>
            <w:pPr>
              <w:spacing w:after="0"/>
              <w:rPr>
                <w:sz w:val="20"/>
                <w:szCs w:val="20"/>
                <w:color w:val="auto"/>
              </w:rPr>
            </w:pPr>
            <w:r>
              <w:rPr>
                <w:rFonts w:ascii="Arial" w:cs="Arial" w:eastAsia="Arial" w:hAnsi="Arial"/>
                <w:sz w:val="18"/>
                <w:szCs w:val="18"/>
                <w:color w:val="auto"/>
              </w:rPr>
              <w:t>Change in unrealized gain (loss)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211,826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(49,026)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(171,493)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(8,693)</w:t>
            </w:r>
          </w:p>
        </w:tc>
        <w:tc>
          <w:tcPr>
            <w:tcW w:w="0" w:type="dxa"/>
            <w:vAlign w:val="bottom"/>
          </w:tcPr>
          <w:p>
            <w:pPr>
              <w:spacing w:after="0"/>
              <w:rPr>
                <w:sz w:val="1"/>
                <w:szCs w:val="1"/>
                <w:color w:val="auto"/>
              </w:rPr>
            </w:pPr>
          </w:p>
        </w:tc>
      </w:tr>
      <w:tr>
        <w:trPr>
          <w:trHeight w:val="290"/>
        </w:trPr>
        <w:tc>
          <w:tcPr>
            <w:tcW w:w="40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Fair value at December 31, 2018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461,826</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208,539,353</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15,247,210</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224,248,389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8"/>
                <w:szCs w:val="18"/>
                <w:color w:val="auto"/>
              </w:rPr>
              <w:t>Change in unrealized gain (loss) on Level 3</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gridSpan w:val="3"/>
          </w:tcPr>
          <w:p>
            <w:pPr>
              <w:ind w:left="180"/>
              <w:spacing w:after="0"/>
              <w:rPr>
                <w:sz w:val="20"/>
                <w:szCs w:val="20"/>
                <w:color w:val="auto"/>
              </w:rPr>
            </w:pPr>
            <w:r>
              <w:rPr>
                <w:rFonts w:ascii="Arial" w:cs="Arial" w:eastAsia="Arial" w:hAnsi="Arial"/>
                <w:sz w:val="18"/>
                <w:szCs w:val="18"/>
                <w:color w:val="auto"/>
              </w:rPr>
              <w:t>investments still held as of December 31, 2018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211,826</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(49,026)</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(194,141)</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(31,341)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2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-624840</wp:posOffset>
            </wp:positionV>
            <wp:extent cx="1111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-624840</wp:posOffset>
            </wp:positionV>
            <wp:extent cx="1111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-624840</wp:posOffset>
            </wp:positionV>
            <wp:extent cx="31375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-1713865</wp:posOffset>
            </wp:positionV>
            <wp:extent cx="1028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-1713865</wp:posOffset>
            </wp:positionV>
            <wp:extent cx="1028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-1713865</wp:posOffset>
            </wp:positionV>
            <wp:extent cx="312864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0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reorganizations and restructuring of investments.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provides quantitative information regarding Level 3 fair value measurements as of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2019:</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r>
      <w:tr>
        <w:trPr>
          <w:trHeight w:val="186"/>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40"/>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 Technique</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Unobservable Inputs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25"/>
        </w:trPr>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3"/>
        </w:trPr>
        <w:tc>
          <w:tcPr>
            <w:tcW w:w="20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Preferred Stock</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Recent private market</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203"/>
        </w:trPr>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8"/>
              </w:rPr>
              <w:t>and merger and</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5"/>
              </w:rPr>
              <w:t>acquisition</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9"/>
        </w:trPr>
        <w:tc>
          <w:tcPr>
            <w:tcW w:w="1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0"/>
              </w:rPr>
              <w:t>transaction prices</w:t>
            </w:r>
          </w:p>
        </w:tc>
        <w:tc>
          <w:tcPr>
            <w:tcW w:w="1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r>
      <w:tr>
        <w:trPr>
          <w:trHeight w:val="184"/>
        </w:trPr>
        <w:tc>
          <w:tcPr>
            <w:tcW w:w="2060" w:type="dxa"/>
            <w:vAlign w:val="bottom"/>
            <w:gridSpan w:val="2"/>
          </w:tcPr>
          <w:p>
            <w:pPr>
              <w:spacing w:after="0"/>
              <w:rPr>
                <w:sz w:val="20"/>
                <w:szCs w:val="20"/>
                <w:color w:val="auto"/>
              </w:rPr>
            </w:pPr>
            <w:r>
              <w:rPr>
                <w:rFonts w:ascii="Arial" w:cs="Arial" w:eastAsia="Arial" w:hAnsi="Arial"/>
                <w:sz w:val="16"/>
                <w:szCs w:val="16"/>
                <w:b w:val="1"/>
                <w:bCs w:val="1"/>
                <w:color w:val="auto"/>
              </w:rPr>
              <w:t>Senior Secured Term</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7"/>
              </w:rPr>
              <w:t>336,388,211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Discounted Cash Flow</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Discount rate</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12.3% – 28.0% (16.8%)</w:t>
            </w:r>
          </w:p>
        </w:tc>
      </w:tr>
      <w:tr>
        <w:trPr>
          <w:trHeight w:val="288"/>
        </w:trPr>
        <w:tc>
          <w:tcPr>
            <w:tcW w:w="2060" w:type="dxa"/>
            <w:vAlign w:val="bottom"/>
            <w:gridSpan w:val="2"/>
          </w:tcPr>
          <w:p>
            <w:pPr>
              <w:ind w:left="160"/>
              <w:spacing w:after="0"/>
              <w:rPr>
                <w:sz w:val="20"/>
                <w:szCs w:val="20"/>
                <w:color w:val="auto"/>
              </w:rPr>
            </w:pPr>
            <w:r>
              <w:rPr>
                <w:rFonts w:ascii="Arial" w:cs="Arial" w:eastAsia="Arial" w:hAnsi="Arial"/>
                <w:sz w:val="16"/>
                <w:szCs w:val="16"/>
                <w:b w:val="1"/>
                <w:bCs w:val="1"/>
                <w:color w:val="auto"/>
              </w:rPr>
              <w:t>Loans</w:t>
            </w:r>
            <w:r>
              <w:rPr>
                <w:rFonts w:ascii="Arial" w:cs="Arial" w:eastAsia="Arial" w:hAnsi="Arial"/>
                <w:sz w:val="25"/>
                <w:szCs w:val="25"/>
                <w:b w:val="1"/>
                <w:bCs w:val="1"/>
                <w:color w:val="auto"/>
                <w:vertAlign w:val="superscript"/>
              </w:rPr>
              <w:t>(1)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Arial" w:cs="Arial" w:eastAsia="Arial" w:hAnsi="Arial"/>
                <w:sz w:val="16"/>
                <w:szCs w:val="16"/>
                <w:color w:val="auto"/>
                <w:w w:val="89"/>
              </w:rPr>
              <w:t>analysis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43"/>
        </w:trPr>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Market approach</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Origination yield</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 – 26.0% (14.5%)</w:t>
            </w:r>
          </w:p>
        </w:tc>
      </w:tr>
      <w:tr>
        <w:trPr>
          <w:trHeight w:val="223"/>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13,182,213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PWERM</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Discount rate</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30.5% – 36.2% (32.6%)</w:t>
            </w:r>
          </w:p>
        </w:tc>
      </w:tr>
      <w:tr>
        <w:trPr>
          <w:trHeight w:val="290"/>
        </w:trPr>
        <w:tc>
          <w:tcPr>
            <w:tcW w:w="20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Warrants</w:t>
            </w:r>
            <w:r>
              <w:rPr>
                <w:rFonts w:ascii="Arial" w:cs="Arial" w:eastAsia="Arial" w:hAnsi="Arial"/>
                <w:sz w:val="25"/>
                <w:szCs w:val="25"/>
                <w:b w:val="1"/>
                <w:bCs w:val="1"/>
                <w:color w:val="auto"/>
                <w:vertAlign w:val="superscript"/>
              </w:rPr>
              <w:t>(2)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12,695,414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Black-Scholes model</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Risk-free interest rate</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1.6% – 1.8% (1.6%)</w:t>
            </w:r>
          </w:p>
        </w:tc>
      </w:tr>
      <w:tr>
        <w:trPr>
          <w:trHeight w:val="220"/>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Average industry</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30.0% – 60.0% (41.2%)</w:t>
            </w:r>
          </w:p>
        </w:tc>
      </w:tr>
      <w:tr>
        <w:trPr>
          <w:trHeight w:val="206"/>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ind w:left="600"/>
              <w:spacing w:after="0"/>
              <w:rPr>
                <w:sz w:val="20"/>
                <w:szCs w:val="20"/>
                <w:color w:val="auto"/>
              </w:rPr>
            </w:pPr>
            <w:r>
              <w:rPr>
                <w:rFonts w:ascii="Arial" w:cs="Arial" w:eastAsia="Arial" w:hAnsi="Arial"/>
                <w:sz w:val="16"/>
                <w:szCs w:val="16"/>
                <w:color w:val="auto"/>
              </w:rPr>
              <w:t>volatility</w:t>
            </w:r>
          </w:p>
        </w:tc>
        <w:tc>
          <w:tcPr>
            <w:tcW w:w="1620" w:type="dxa"/>
            <w:vAlign w:val="bottom"/>
          </w:tcPr>
          <w:p>
            <w:pPr>
              <w:spacing w:after="0"/>
              <w:rPr>
                <w:sz w:val="17"/>
                <w:szCs w:val="17"/>
                <w:color w:val="auto"/>
              </w:rPr>
            </w:pPr>
          </w:p>
        </w:tc>
      </w:tr>
      <w:tr>
        <w:trPr>
          <w:trHeight w:val="47"/>
        </w:trPr>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20"/>
        </w:trPr>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Estimated time to exit</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0.5 years – 5.9 years</w:t>
            </w:r>
          </w:p>
        </w:tc>
      </w:tr>
      <w:tr>
        <w:trPr>
          <w:trHeight w:val="233"/>
        </w:trPr>
        <w:tc>
          <w:tcPr>
            <w:tcW w:w="1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(3.1 years)</w:t>
            </w:r>
          </w:p>
        </w:tc>
      </w:tr>
      <w:tr>
        <w:trPr>
          <w:trHeight w:val="237"/>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5,312,923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PWERM</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Discount rate</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20.7% – 45.0% (32.6%)</w:t>
            </w:r>
          </w:p>
        </w:tc>
      </w:tr>
      <w:tr>
        <w:trPr>
          <w:trHeight w:val="33"/>
        </w:trPr>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68"/>
        </w:trPr>
        <w:tc>
          <w:tcPr>
            <w:tcW w:w="2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Level 3 Investments</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368,016,276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52120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-2313940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-2313940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-2313940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-2313940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provides quantitative information regarding Level 3 fair value measurements as of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2018:</w:t>
      </w:r>
    </w:p>
    <w:p>
      <w:pPr>
        <w:spacing w:after="0" w:line="17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86"/>
        </w:trPr>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6"/>
                <w:szCs w:val="16"/>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 Technique</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Unobservable Inputs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Preferred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461,826</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Recent private market</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8"/>
              </w:rPr>
              <w:t>and merger and</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5"/>
              </w:rPr>
              <w:t>acquisition</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0"/>
              </w:rPr>
              <w:t>transaction prices</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100" w:type="dxa"/>
            <w:vAlign w:val="bottom"/>
            <w:gridSpan w:val="3"/>
          </w:tcPr>
          <w:p>
            <w:pPr>
              <w:spacing w:after="0"/>
              <w:rPr>
                <w:sz w:val="20"/>
                <w:szCs w:val="20"/>
                <w:color w:val="auto"/>
              </w:rPr>
            </w:pPr>
            <w:r>
              <w:rPr>
                <w:rFonts w:ascii="Arial" w:cs="Arial" w:eastAsia="Arial" w:hAnsi="Arial"/>
                <w:sz w:val="16"/>
                <w:szCs w:val="16"/>
                <w:b w:val="1"/>
                <w:bCs w:val="1"/>
                <w:color w:val="auto"/>
              </w:rPr>
              <w:t>Senior Secured Term</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87"/>
              </w:rPr>
              <w:t>200,740,155</w:t>
            </w:r>
          </w:p>
        </w:tc>
        <w:tc>
          <w:tcPr>
            <w:tcW w:w="120" w:type="dxa"/>
            <w:vAlign w:val="bottom"/>
          </w:tcPr>
          <w:p>
            <w:pPr>
              <w:spacing w:after="0"/>
              <w:rPr>
                <w:sz w:val="16"/>
                <w:szCs w:val="16"/>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Discounted Cash Flow</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Discount rate</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14.6% – 30.3% (18.4%)</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080" w:type="dxa"/>
            <w:vAlign w:val="bottom"/>
            <w:gridSpan w:val="2"/>
          </w:tcPr>
          <w:p>
            <w:pPr>
              <w:ind w:left="140"/>
              <w:spacing w:after="0"/>
              <w:rPr>
                <w:sz w:val="20"/>
                <w:szCs w:val="20"/>
                <w:color w:val="auto"/>
              </w:rPr>
            </w:pPr>
            <w:r>
              <w:rPr>
                <w:rFonts w:ascii="Arial" w:cs="Arial" w:eastAsia="Arial" w:hAnsi="Arial"/>
                <w:sz w:val="16"/>
                <w:szCs w:val="16"/>
                <w:b w:val="1"/>
                <w:bCs w:val="1"/>
                <w:color w:val="auto"/>
              </w:rPr>
              <w:t>Loans</w:t>
            </w:r>
            <w:r>
              <w:rPr>
                <w:rFonts w:ascii="Arial" w:cs="Arial" w:eastAsia="Arial" w:hAnsi="Arial"/>
                <w:sz w:val="25"/>
                <w:szCs w:val="25"/>
                <w:b w:val="1"/>
                <w:bCs w:val="1"/>
                <w:color w:val="auto"/>
                <w:vertAlign w:val="superscript"/>
              </w:rPr>
              <w:t>(1)</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Arial" w:cs="Arial" w:eastAsia="Arial" w:hAnsi="Arial"/>
                <w:sz w:val="16"/>
                <w:szCs w:val="16"/>
                <w:color w:val="auto"/>
                <w:w w:val="89"/>
              </w:rPr>
              <w:t>analysis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Market approach</w:t>
            </w:r>
          </w:p>
        </w:tc>
        <w:tc>
          <w:tcPr>
            <w:tcW w:w="1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Origination yield</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13.8% – 26.0% (16.8%)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7,799,198</w:t>
            </w:r>
          </w:p>
        </w:tc>
        <w:tc>
          <w:tcPr>
            <w:tcW w:w="12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PWERM</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Discount rate</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24.4% – 62.0% (40.3%)</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1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2080" w:type="dxa"/>
            <w:vAlign w:val="bottom"/>
            <w:tcBorders>
              <w:right w:val="single" w:sz="8" w:color="CCEEFF"/>
            </w:tcBorders>
            <w:gridSpan w:val="2"/>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Warrants</w:t>
            </w:r>
            <w:r>
              <w:rPr>
                <w:rFonts w:ascii="Arial" w:cs="Arial" w:eastAsia="Arial" w:hAnsi="Arial"/>
                <w:sz w:val="25"/>
                <w:szCs w:val="25"/>
                <w:b w:val="1"/>
                <w:bCs w:val="1"/>
                <w:color w:val="auto"/>
                <w:vertAlign w:val="superscript"/>
              </w:rPr>
              <w:t>(2)</w:t>
            </w:r>
          </w:p>
        </w:tc>
        <w:tc>
          <w:tcPr>
            <w:tcW w:w="80" w:type="dxa"/>
            <w:vAlign w:val="bottom"/>
            <w:shd w:val="clear" w:color="auto" w:fill="CCEEFF"/>
          </w:tcPr>
          <w:p>
            <w:pPr>
              <w:spacing w:after="0"/>
              <w:rPr>
                <w:sz w:val="24"/>
                <w:szCs w:val="2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13,667,210</w:t>
            </w:r>
          </w:p>
        </w:tc>
        <w:tc>
          <w:tcPr>
            <w:tcW w:w="12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Black-Scholes model</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Risk-free interest rate</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2.5% – 2.6% (2.5%)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Average industry</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8.0% – 60.0% (25.2%)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ind w:left="600"/>
              <w:spacing w:after="0"/>
              <w:rPr>
                <w:sz w:val="20"/>
                <w:szCs w:val="20"/>
                <w:color w:val="auto"/>
              </w:rPr>
            </w:pPr>
            <w:r>
              <w:rPr>
                <w:rFonts w:ascii="Arial" w:cs="Arial" w:eastAsia="Arial" w:hAnsi="Arial"/>
                <w:sz w:val="16"/>
                <w:szCs w:val="16"/>
                <w:color w:val="auto"/>
              </w:rPr>
              <w:t>volatility</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Estimated time to exit</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0.5 years – 7.1 years</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(4.1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1,580,000</w:t>
            </w:r>
          </w:p>
        </w:tc>
        <w:tc>
          <w:tcPr>
            <w:tcW w:w="12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Monte Carlo simulation</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Risk-free interest rate</w:t>
            </w:r>
          </w:p>
        </w:tc>
        <w:tc>
          <w:tcPr>
            <w:tcW w:w="1620" w:type="dxa"/>
            <w:vAlign w:val="bottom"/>
          </w:tcPr>
          <w:p>
            <w:pPr>
              <w:jc w:val="center"/>
              <w:spacing w:after="0"/>
              <w:rPr>
                <w:sz w:val="20"/>
                <w:szCs w:val="20"/>
                <w:color w:val="auto"/>
              </w:rPr>
            </w:pPr>
            <w:r>
              <w:rPr>
                <w:rFonts w:ascii="Arial" w:cs="Arial" w:eastAsia="Arial" w:hAnsi="Arial"/>
                <w:sz w:val="16"/>
                <w:szCs w:val="16"/>
                <w:color w:val="auto"/>
                <w:w w:val="87"/>
              </w:rPr>
              <w:t>2.5%</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Average industry</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13.0%</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volatility</w:t>
            </w: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6"/>
                <w:szCs w:val="16"/>
                <w:b w:val="1"/>
                <w:bCs w:val="1"/>
                <w:color w:val="auto"/>
              </w:rPr>
              <w:t>Total Level 3 Investments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w w:val="87"/>
              </w:rPr>
              <w:t>224,248,389</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-2811145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-2811145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-2811145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-2811145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jc w:val="both"/>
        <w:ind w:left="1620" w:right="679" w:hanging="358"/>
        <w:spacing w:after="0" w:line="270" w:lineRule="auto"/>
        <w:tabs>
          <w:tab w:leader="none" w:pos="1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 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45" w:lineRule="exact"/>
        <w:rPr>
          <w:rFonts w:ascii="Arial" w:cs="Arial" w:eastAsia="Arial" w:hAnsi="Arial"/>
          <w:sz w:val="17"/>
          <w:szCs w:val="17"/>
          <w:color w:val="auto"/>
        </w:rPr>
      </w:pPr>
    </w:p>
    <w:p>
      <w:pPr>
        <w:jc w:val="both"/>
        <w:ind w:left="1620" w:right="679" w:hanging="358"/>
        <w:spacing w:after="0" w:line="290" w:lineRule="auto"/>
        <w:tabs>
          <w:tab w:leader="none" w:pos="1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significant unobservable inputs used in the fair value measurement of the Company’s warrant and equity-related securities are inputs used in the Black Scholes option pricing model (“OPM”) which include industry volatility, risk free interest rate and estimated time to exit.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162" w:lineRule="exact"/>
        <w:rPr>
          <w:sz w:val="20"/>
          <w:szCs w:val="20"/>
          <w:color w:val="auto"/>
        </w:rPr>
      </w:pPr>
    </w:p>
    <w:p>
      <w:pPr>
        <w:jc w:val="both"/>
        <w:ind w:left="1260" w:right="679" w:firstLine="360"/>
        <w:spacing w:after="0" w:line="275" w:lineRule="auto"/>
        <w:rPr>
          <w:sz w:val="20"/>
          <w:szCs w:val="20"/>
          <w:color w:val="auto"/>
        </w:rPr>
      </w:pPr>
      <w:r>
        <w:rPr>
          <w:rFonts w:ascii="Arial" w:cs="Arial" w:eastAsia="Arial" w:hAnsi="Arial"/>
          <w:sz w:val="17"/>
          <w:szCs w:val="17"/>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Warrants</w:t>
      </w:r>
    </w:p>
    <w:p>
      <w:pPr>
        <w:spacing w:after="0" w:line="144" w:lineRule="exact"/>
        <w:rPr>
          <w:sz w:val="20"/>
          <w:szCs w:val="20"/>
          <w:color w:val="auto"/>
        </w:rPr>
      </w:pPr>
    </w:p>
    <w:p>
      <w:pPr>
        <w:jc w:val="both"/>
        <w:ind w:left="1260" w:right="679" w:firstLine="360"/>
        <w:spacing w:after="0" w:line="276" w:lineRule="auto"/>
        <w:rPr>
          <w:sz w:val="20"/>
          <w:szCs w:val="20"/>
          <w:color w:val="auto"/>
        </w:rPr>
      </w:pPr>
      <w:r>
        <w:rPr>
          <w:rFonts w:ascii="Arial" w:cs="Arial" w:eastAsia="Arial" w:hAnsi="Arial"/>
          <w:sz w:val="16"/>
          <w:szCs w:val="16"/>
          <w:color w:val="auto"/>
        </w:rPr>
        <w:t>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w:t>
      </w:r>
    </w:p>
    <w:p>
      <w:pPr>
        <w:spacing w:after="0" w:line="94" w:lineRule="exact"/>
        <w:rPr>
          <w:sz w:val="20"/>
          <w:szCs w:val="20"/>
          <w:color w:val="auto"/>
        </w:rPr>
      </w:pPr>
    </w:p>
    <w:p>
      <w:pPr>
        <w:jc w:val="both"/>
        <w:ind w:left="1260" w:right="679" w:firstLine="360"/>
        <w:spacing w:after="0" w:line="243" w:lineRule="auto"/>
        <w:rPr>
          <w:sz w:val="20"/>
          <w:szCs w:val="20"/>
          <w:color w:val="auto"/>
        </w:rPr>
      </w:pPr>
      <w:r>
        <w:rPr>
          <w:rFonts w:ascii="Arial" w:cs="Arial" w:eastAsia="Arial" w:hAnsi="Arial"/>
          <w:sz w:val="18"/>
          <w:szCs w:val="18"/>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Credit Facilities</w:t>
      </w:r>
    </w:p>
    <w:p>
      <w:pPr>
        <w:spacing w:after="0" w:line="162" w:lineRule="exact"/>
        <w:rPr>
          <w:sz w:val="20"/>
          <w:szCs w:val="20"/>
          <w:color w:val="auto"/>
        </w:rPr>
      </w:pPr>
    </w:p>
    <w:p>
      <w:pPr>
        <w:jc w:val="both"/>
        <w:ind w:left="1260" w:right="679" w:firstLine="360"/>
        <w:spacing w:after="0" w:line="284" w:lineRule="auto"/>
        <w:rPr>
          <w:sz w:val="20"/>
          <w:szCs w:val="20"/>
          <w:color w:val="auto"/>
        </w:rPr>
      </w:pPr>
      <w:r>
        <w:rPr>
          <w:rFonts w:ascii="Arial" w:cs="Arial" w:eastAsia="Arial" w:hAnsi="Arial"/>
          <w:sz w:val="16"/>
          <w:szCs w:val="16"/>
          <w:color w:val="auto"/>
        </w:rPr>
        <w:t>On May 31, 2019, the Company entered into a Credit Agreement (the “Credit Agreement”) by and among the Company, as borrower, KeyBank National Association, as administrative agent, syndication agent, and a lender, CIBC Bank USA, as documentation agent and a lender, U.S. Bank National Association, as paying agent, the guarantors from time to time party thereto, and the other lenders from time to time party thereto.</w:t>
      </w:r>
    </w:p>
    <w:p>
      <w:pPr>
        <w:spacing w:after="0" w:line="74" w:lineRule="exact"/>
        <w:rPr>
          <w:sz w:val="20"/>
          <w:szCs w:val="20"/>
          <w:color w:val="auto"/>
        </w:rPr>
      </w:pPr>
    </w:p>
    <w:p>
      <w:pPr>
        <w:jc w:val="both"/>
        <w:ind w:left="1260" w:right="679" w:firstLine="360"/>
        <w:spacing w:after="0" w:line="238" w:lineRule="auto"/>
        <w:rPr>
          <w:sz w:val="20"/>
          <w:szCs w:val="20"/>
          <w:color w:val="auto"/>
        </w:rPr>
      </w:pPr>
      <w:r>
        <w:rPr>
          <w:rFonts w:ascii="Arial" w:cs="Arial" w:eastAsia="Arial" w:hAnsi="Arial"/>
          <w:sz w:val="18"/>
          <w:szCs w:val="18"/>
          <w:color w:val="auto"/>
        </w:rPr>
        <w:t>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There can be no assurances that existing lenders will agree to such an increase, or that additional lenders will join the credit facility to increase available borrowings.</w:t>
      </w:r>
    </w:p>
    <w:p>
      <w:pPr>
        <w:spacing w:after="0" w:line="126" w:lineRule="exact"/>
        <w:rPr>
          <w:sz w:val="20"/>
          <w:szCs w:val="20"/>
          <w:color w:val="auto"/>
        </w:rPr>
      </w:pPr>
    </w:p>
    <w:p>
      <w:pPr>
        <w:jc w:val="both"/>
        <w:ind w:left="1260" w:right="659" w:firstLine="360"/>
        <w:spacing w:after="0" w:line="286" w:lineRule="auto"/>
        <w:rPr>
          <w:sz w:val="20"/>
          <w:szCs w:val="20"/>
          <w:color w:val="auto"/>
        </w:rPr>
      </w:pPr>
      <w:r>
        <w:rPr>
          <w:rFonts w:ascii="Arial" w:cs="Arial" w:eastAsia="Arial" w:hAnsi="Arial"/>
          <w:sz w:val="16"/>
          <w:szCs w:val="16"/>
          <w:color w:val="auto"/>
        </w:rPr>
        <w:t>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w:t>
      </w:r>
    </w:p>
    <w:p>
      <w:pPr>
        <w:spacing w:after="0" w:line="1" w:lineRule="exact"/>
        <w:rPr>
          <w:sz w:val="20"/>
          <w:szCs w:val="20"/>
          <w:color w:val="auto"/>
        </w:rPr>
      </w:pPr>
    </w:p>
    <w:p>
      <w:pPr>
        <w:jc w:val="both"/>
        <w:ind w:left="1260" w:right="679"/>
        <w:spacing w:after="0" w:line="267" w:lineRule="auto"/>
        <w:rPr>
          <w:sz w:val="20"/>
          <w:szCs w:val="20"/>
          <w:color w:val="auto"/>
        </w:rPr>
      </w:pPr>
      <w:r>
        <w:rPr>
          <w:rFonts w:ascii="Arial" w:cs="Arial" w:eastAsia="Arial" w:hAnsi="Arial"/>
          <w:sz w:val="17"/>
          <w:szCs w:val="17"/>
          <w:color w:val="auto"/>
        </w:rPr>
        <w:t>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w:t>
      </w:r>
    </w:p>
    <w:p>
      <w:pPr>
        <w:spacing w:after="0" w:line="118" w:lineRule="exact"/>
        <w:rPr>
          <w:sz w:val="20"/>
          <w:szCs w:val="20"/>
          <w:color w:val="auto"/>
        </w:rPr>
      </w:pPr>
    </w:p>
    <w:p>
      <w:pPr>
        <w:jc w:val="both"/>
        <w:ind w:left="1260" w:right="679" w:firstLine="360"/>
        <w:spacing w:after="0" w:line="277" w:lineRule="auto"/>
        <w:rPr>
          <w:sz w:val="20"/>
          <w:szCs w:val="20"/>
          <w:color w:val="auto"/>
        </w:rPr>
      </w:pPr>
      <w:r>
        <w:rPr>
          <w:rFonts w:ascii="Arial" w:cs="Arial" w:eastAsia="Arial" w:hAnsi="Arial"/>
          <w:sz w:val="18"/>
          <w:szCs w:val="18"/>
          <w:color w:val="auto"/>
        </w:rPr>
        <w:t>The availability period under the Credit Agreement expires on May 31, 2022 and is followed by a two-year amortization period. The stated maturity date under the Credit Agreement is May 31, 2024.</w:t>
      </w:r>
    </w:p>
    <w:p>
      <w:pPr>
        <w:spacing w:after="0" w:line="89" w:lineRule="exact"/>
        <w:rPr>
          <w:sz w:val="20"/>
          <w:szCs w:val="20"/>
          <w:color w:val="auto"/>
        </w:rPr>
      </w:pPr>
    </w:p>
    <w:p>
      <w:pPr>
        <w:jc w:val="both"/>
        <w:ind w:left="1260" w:right="679" w:firstLine="360"/>
        <w:spacing w:after="0" w:line="277" w:lineRule="auto"/>
        <w:rPr>
          <w:sz w:val="20"/>
          <w:szCs w:val="20"/>
          <w:color w:val="auto"/>
        </w:rPr>
      </w:pPr>
      <w:r>
        <w:rPr>
          <w:rFonts w:ascii="Arial" w:cs="Arial" w:eastAsia="Arial" w:hAnsi="Arial"/>
          <w:sz w:val="18"/>
          <w:szCs w:val="18"/>
          <w:color w:val="auto"/>
        </w:rPr>
        <w:t>The Credit Agreement is secured by a perfected first priority security interest in substantially all of the Company’s assets and portfolio investments.</w:t>
      </w:r>
    </w:p>
    <w:p>
      <w:pPr>
        <w:spacing w:after="0" w:line="103"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7"/>
          <w:szCs w:val="17"/>
          <w:color w:val="auto"/>
        </w:rPr>
        <w:t>The Credit Agreement contains certain customary covenants and events of default for secured revolving credit facilities of this nature, including, without limitation, maintenance of a tangible net worth as of the last day of each fiscal quarter in excess of the greater of (i) $125 million plus 75% of the net proceeds of sales of</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jc w:val="both"/>
        <w:ind w:left="1260" w:right="1260"/>
        <w:spacing w:after="0" w:line="270" w:lineRule="auto"/>
        <w:rPr>
          <w:sz w:val="20"/>
          <w:szCs w:val="20"/>
          <w:color w:val="auto"/>
        </w:rPr>
      </w:pPr>
      <w:r>
        <w:rPr>
          <w:rFonts w:ascii="Arial" w:cs="Arial" w:eastAsia="Arial" w:hAnsi="Arial"/>
          <w:sz w:val="16"/>
          <w:szCs w:val="16"/>
          <w:color w:val="auto"/>
        </w:rPr>
        <w:t>equity interests in the Company and (ii) the loan balance of the Company’s four largest obligors; maintenance of an asset coverage ratio as of the last day of each fiscal quarter that equals or exceeds the greater of 150% and the ratio otherwise applicable to the Company under the 1940 Act; maintenance of an interest coverage ratio as of the last day of each fiscal quarter of 2.00 to 1.00; maintenance of a minimum liquidity amount as of the last day of each fiscal quarter; net income not being negative for two consecutive fiscal quarters or any trailing 12-month period; a limitation on incurring additional indebtedness without the prior written consent of the administrative agent (subject to limited exceptions); certain change-of-control events occur at the Company or the Company’s investment adviser; the departure of certain key persons from the Company or the Company’s investment adviser; RGC ceases to be the Company’s investment adviser; maintenance of business-development-company status and regulated-investment-company status; nonpayment; misrepresentation of representations and warranties; breach of covenant; and certain bankruptcy and liquidation events.</w:t>
      </w:r>
    </w:p>
    <w:p>
      <w:pPr>
        <w:spacing w:after="0" w:line="86" w:lineRule="exact"/>
        <w:rPr>
          <w:sz w:val="20"/>
          <w:szCs w:val="20"/>
          <w:color w:val="auto"/>
        </w:rPr>
      </w:pPr>
    </w:p>
    <w:p>
      <w:pPr>
        <w:jc w:val="both"/>
        <w:ind w:left="1260" w:right="1260" w:firstLine="360"/>
        <w:spacing w:after="0" w:line="259" w:lineRule="auto"/>
        <w:rPr>
          <w:sz w:val="20"/>
          <w:szCs w:val="20"/>
          <w:color w:val="auto"/>
        </w:rPr>
      </w:pPr>
      <w:r>
        <w:rPr>
          <w:rFonts w:ascii="Arial" w:cs="Arial" w:eastAsia="Arial" w:hAnsi="Arial"/>
          <w:sz w:val="17"/>
          <w:szCs w:val="17"/>
          <w:color w:val="auto"/>
        </w:rPr>
        <w:t>On June 22, 2018, the Company entered into a demand loan agreement (the “Uncommitted Facility”) and a revolving loan agreement (the “Committed Facility,” and together with the Uncommitted Facility, the “Credit Facilities”) with CIBC Bank USA (“CIBC”). An amendment to the Credit Facilities was entered into on September 24, 2018 between the Company and CIBC. On May 31, 2019, in conjunction with securing and entering into the new Credit Agreement, the Company terminated the Credit Facilities.</w:t>
      </w:r>
    </w:p>
    <w:p>
      <w:pPr>
        <w:spacing w:after="0" w:line="106" w:lineRule="exact"/>
        <w:rPr>
          <w:sz w:val="20"/>
          <w:szCs w:val="20"/>
          <w:color w:val="auto"/>
        </w:rPr>
      </w:pPr>
    </w:p>
    <w:p>
      <w:pPr>
        <w:jc w:val="both"/>
        <w:ind w:left="1260" w:right="1260" w:firstLine="360"/>
        <w:spacing w:after="0" w:line="239" w:lineRule="auto"/>
        <w:rPr>
          <w:sz w:val="20"/>
          <w:szCs w:val="20"/>
          <w:color w:val="auto"/>
        </w:rPr>
      </w:pPr>
      <w:r>
        <w:rPr>
          <w:rFonts w:ascii="Arial" w:cs="Arial" w:eastAsia="Arial" w:hAnsi="Arial"/>
          <w:sz w:val="18"/>
          <w:szCs w:val="18"/>
          <w:color w:val="auto"/>
        </w:rPr>
        <w:t>The current maximum principal amount of available borrowings under each of the Uncommitted Facility and the Committed Facility is $30 million (for a combined maximum principal amount under the Credit Facilities of $60 million), subject in each case to availability under the borrowing base, which is based on unused capital commitments. Borrowings under the Credit Facilities bear interest, at the Company’s election at the time of drawdown, at a rate per annum equal to (i) in the case of LIBOR rate loans, the LIBOR rate for the applicable interest period plus 2.50% or (ii) in the case of prime rate loans, CIBC’s prime commercial rate at the time of the borrowing minus 0.50%.</w:t>
      </w:r>
    </w:p>
    <w:p>
      <w:pPr>
        <w:spacing w:after="0" w:line="123" w:lineRule="exact"/>
        <w:rPr>
          <w:sz w:val="20"/>
          <w:szCs w:val="20"/>
          <w:color w:val="auto"/>
        </w:rPr>
      </w:pPr>
    </w:p>
    <w:p>
      <w:pPr>
        <w:jc w:val="both"/>
        <w:ind w:left="1260" w:right="1240" w:firstLine="360"/>
        <w:spacing w:after="0" w:line="241" w:lineRule="auto"/>
        <w:rPr>
          <w:sz w:val="20"/>
          <w:szCs w:val="20"/>
          <w:color w:val="auto"/>
        </w:rPr>
      </w:pPr>
      <w:r>
        <w:rPr>
          <w:rFonts w:ascii="Arial" w:cs="Arial" w:eastAsia="Arial" w:hAnsi="Arial"/>
          <w:sz w:val="18"/>
          <w:szCs w:val="18"/>
          <w:color w:val="auto"/>
        </w:rPr>
        <w:t>The Credit Facilities are secured by a perfected first priority security interest in the Company’s right, title, and interest in and to the capital commitments of the Company’s private investors, including the Company’s right to make capital calls, receive and apply capital contributions, enforce remedies and claims related thereto together with capital call proceeds and related rights, and a pledge of the collateral account into which capital call proceeds are deposited.</w:t>
      </w:r>
    </w:p>
    <w:p>
      <w:pPr>
        <w:spacing w:after="0" w:line="108" w:lineRule="exact"/>
        <w:rPr>
          <w:sz w:val="20"/>
          <w:szCs w:val="20"/>
          <w:color w:val="auto"/>
        </w:rPr>
      </w:pPr>
    </w:p>
    <w:p>
      <w:pPr>
        <w:jc w:val="both"/>
        <w:ind w:left="1260" w:right="1260" w:firstLine="360"/>
        <w:spacing w:after="0" w:line="254" w:lineRule="auto"/>
        <w:rPr>
          <w:sz w:val="20"/>
          <w:szCs w:val="20"/>
          <w:color w:val="auto"/>
        </w:rPr>
      </w:pPr>
      <w:r>
        <w:rPr>
          <w:rFonts w:ascii="Arial" w:cs="Arial" w:eastAsia="Arial" w:hAnsi="Arial"/>
          <w:sz w:val="17"/>
          <w:szCs w:val="17"/>
          <w:color w:val="auto"/>
        </w:rPr>
        <w:t>The Credit Facilities contain customary covenants and events of default for such subscription credit facilities (with customary cure and notice provisions), including, without limitation, maintenance of RIC status; nonpayment; misrepresentation of representations and warranties; breach of covenant; certain bankruptcy and liquidation events; change of control at RGC; the Amended Advisory Agreement or the Administration Agreement, ceasing to remain in effect; investors with aggregate capital commitments to the Company in excess of fifteen percent (15%) of the aggregate capital commitments of all investors in the Company failing to make capital contributions within ten (10) business days of when required; and the commitment period of the Company’s investors terminating because the Company engages in a Spin-Off transaction.</w:t>
      </w:r>
    </w:p>
    <w:p>
      <w:pPr>
        <w:spacing w:after="0" w:line="113" w:lineRule="exact"/>
        <w:rPr>
          <w:sz w:val="20"/>
          <w:szCs w:val="20"/>
          <w:color w:val="auto"/>
        </w:rPr>
      </w:pPr>
    </w:p>
    <w:p>
      <w:pPr>
        <w:jc w:val="both"/>
        <w:ind w:left="1260" w:right="1260" w:firstLine="360"/>
        <w:spacing w:after="0" w:line="270" w:lineRule="auto"/>
        <w:rPr>
          <w:sz w:val="20"/>
          <w:szCs w:val="20"/>
          <w:color w:val="auto"/>
        </w:rPr>
      </w:pPr>
      <w:r>
        <w:rPr>
          <w:rFonts w:ascii="Arial" w:cs="Arial" w:eastAsia="Arial" w:hAnsi="Arial"/>
          <w:sz w:val="17"/>
          <w:szCs w:val="17"/>
          <w:color w:val="auto"/>
        </w:rPr>
        <w:t>For the years ended December 31, 2019 and December 31, 2018, the weighted average outstanding debt balance was $12,355,311 and $8,750,616, respectively, and the weighted average effective interest rate under the Credit Agreement and Credit Facilities was 5.20% and 4.66%, respectively.</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2019, the Company had $61,000,000 outstanding under the Credit Agreement and the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Credit Facilities with maturities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 of</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80" w:type="dxa"/>
            <w:vAlign w:val="bottom"/>
            <w:gridSpan w:val="2"/>
          </w:tcPr>
          <w:p>
            <w:pPr>
              <w:ind w:left="1260"/>
              <w:spacing w:after="0"/>
              <w:rPr>
                <w:sz w:val="20"/>
                <w:szCs w:val="20"/>
                <w:color w:val="auto"/>
              </w:rPr>
            </w:pPr>
            <w:r>
              <w:rPr>
                <w:rFonts w:ascii="Arial" w:cs="Arial" w:eastAsia="Arial" w:hAnsi="Arial"/>
                <w:sz w:val="14"/>
                <w:szCs w:val="14"/>
                <w:b w:val="1"/>
                <w:bCs w:val="1"/>
                <w:color w:val="auto"/>
              </w:rPr>
              <w:t>Loan Facility</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Advance</w:t>
            </w: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Due Date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KeyBank National Association Loan Facility</w:t>
            </w:r>
          </w:p>
        </w:tc>
        <w:tc>
          <w:tcPr>
            <w:tcW w:w="880" w:type="dxa"/>
            <w:vAlign w:val="bottom"/>
            <w:shd w:val="clear" w:color="auto" w:fill="CCEEFF"/>
          </w:tcPr>
          <w:p>
            <w:pPr>
              <w:spacing w:after="0"/>
              <w:rPr>
                <w:sz w:val="22"/>
                <w:szCs w:val="22"/>
                <w:color w:val="auto"/>
              </w:rPr>
            </w:pPr>
          </w:p>
        </w:tc>
        <w:tc>
          <w:tcPr>
            <w:tcW w:w="106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12/30/2019</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5/31/2022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$61,000,000</w:t>
            </w:r>
          </w:p>
        </w:tc>
        <w:tc>
          <w:tcPr>
            <w:tcW w:w="1800" w:type="dxa"/>
            <w:vAlign w:val="bottom"/>
            <w:gridSpan w:val="3"/>
          </w:tcPr>
          <w:p>
            <w:pPr>
              <w:ind w:left="24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620" w:type="dxa"/>
            <w:vAlign w:val="bottom"/>
            <w:tcBorders>
              <w:top w:val="single" w:sz="8" w:color="CCEEFF"/>
            </w:tcBorders>
          </w:tcPr>
          <w:p>
            <w:pPr>
              <w:spacing w:after="0"/>
              <w:rPr>
                <w:sz w:val="22"/>
                <w:szCs w:val="22"/>
                <w:color w:val="auto"/>
              </w:rPr>
            </w:pPr>
          </w:p>
        </w:tc>
        <w:tc>
          <w:tcPr>
            <w:tcW w:w="8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61,000,000</w:t>
            </w:r>
          </w:p>
        </w:tc>
        <w:tc>
          <w:tcPr>
            <w:tcW w:w="2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12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-1122045</wp:posOffset>
            </wp:positionV>
            <wp:extent cx="5212080" cy="1803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14" w:name="page115"/>
    <w:bookmarkEnd w:id="114"/>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As of December 31, 2018, the Company had $59,500,000 outstanding under the Credit Facilities with maturities as follows: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 of</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6"/>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Loan Facility</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Advance</w:t>
            </w:r>
          </w:p>
        </w:tc>
        <w:tc>
          <w:tcPr>
            <w:tcW w:w="10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Due Date</w:t>
            </w:r>
          </w:p>
        </w:tc>
        <w:tc>
          <w:tcPr>
            <w:tcW w:w="820" w:type="dxa"/>
            <w:vAlign w:val="bottom"/>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Rate</w:t>
            </w:r>
          </w:p>
        </w:tc>
      </w:tr>
      <w:tr>
        <w:trPr>
          <w:trHeight w:val="26"/>
        </w:trPr>
        <w:tc>
          <w:tcPr>
            <w:tcW w:w="4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4720" w:type="dxa"/>
            <w:vAlign w:val="bottom"/>
            <w:gridSpan w:val="2"/>
          </w:tcPr>
          <w:p>
            <w:pPr>
              <w:spacing w:after="0"/>
              <w:rPr>
                <w:sz w:val="20"/>
                <w:szCs w:val="20"/>
                <w:color w:val="auto"/>
              </w:rPr>
            </w:pPr>
            <w:r>
              <w:rPr>
                <w:rFonts w:ascii="Arial" w:cs="Arial" w:eastAsia="Arial" w:hAnsi="Arial"/>
                <w:sz w:val="18"/>
                <w:szCs w:val="18"/>
                <w:color w:val="auto"/>
              </w:rPr>
              <w:t>CIBC Bank USA Committed Loan Facility</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10/22/2018</w:t>
            </w:r>
          </w:p>
        </w:tc>
        <w:tc>
          <w:tcPr>
            <w:tcW w:w="20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4/20/2019   $</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4,000,000</w:t>
            </w:r>
          </w:p>
        </w:tc>
        <w:tc>
          <w:tcPr>
            <w:tcW w:w="700" w:type="dxa"/>
            <w:vAlign w:val="bottom"/>
            <w:gridSpan w:val="3"/>
          </w:tcPr>
          <w:p>
            <w:pPr>
              <w:ind w:left="240"/>
              <w:spacing w:after="0"/>
              <w:rPr>
                <w:sz w:val="20"/>
                <w:szCs w:val="20"/>
                <w:color w:val="auto"/>
              </w:rPr>
            </w:pPr>
            <w:r>
              <w:rPr>
                <w:rFonts w:ascii="Arial" w:cs="Arial" w:eastAsia="Arial" w:hAnsi="Arial"/>
                <w:sz w:val="18"/>
                <w:szCs w:val="18"/>
                <w:color w:val="auto"/>
                <w:w w:val="86"/>
              </w:rPr>
              <w:t>5.00%</w:t>
            </w:r>
          </w:p>
        </w:tc>
      </w:tr>
      <w:tr>
        <w:trPr>
          <w:trHeight w:val="257"/>
        </w:trPr>
        <w:tc>
          <w:tcPr>
            <w:tcW w:w="4720" w:type="dxa"/>
            <w:vAlign w:val="bottom"/>
            <w:gridSpan w:val="2"/>
          </w:tcPr>
          <w:p>
            <w:pPr>
              <w:spacing w:after="0"/>
              <w:rPr>
                <w:sz w:val="20"/>
                <w:szCs w:val="20"/>
                <w:color w:val="auto"/>
              </w:rPr>
            </w:pPr>
            <w:r>
              <w:rPr>
                <w:rFonts w:ascii="Arial" w:cs="Arial" w:eastAsia="Arial" w:hAnsi="Arial"/>
                <w:sz w:val="18"/>
                <w:szCs w:val="18"/>
                <w:color w:val="auto"/>
              </w:rPr>
              <w:t>CIBC Bank USA Committed Loan Facility</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11/23/2018</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5/22/2019</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14,000,000</w:t>
            </w:r>
          </w:p>
        </w:tc>
        <w:tc>
          <w:tcPr>
            <w:tcW w:w="700" w:type="dxa"/>
            <w:vAlign w:val="bottom"/>
            <w:gridSpan w:val="3"/>
          </w:tcPr>
          <w:p>
            <w:pPr>
              <w:ind w:left="240"/>
              <w:spacing w:after="0"/>
              <w:rPr>
                <w:sz w:val="20"/>
                <w:szCs w:val="20"/>
                <w:color w:val="auto"/>
              </w:rPr>
            </w:pPr>
            <w:r>
              <w:rPr>
                <w:rFonts w:ascii="Arial" w:cs="Arial" w:eastAsia="Arial" w:hAnsi="Arial"/>
                <w:sz w:val="18"/>
                <w:szCs w:val="18"/>
                <w:color w:val="auto"/>
                <w:w w:val="86"/>
              </w:rPr>
              <w:t>5.00%</w:t>
            </w:r>
          </w:p>
        </w:tc>
      </w:tr>
      <w:tr>
        <w:trPr>
          <w:trHeight w:val="257"/>
        </w:trPr>
        <w:tc>
          <w:tcPr>
            <w:tcW w:w="4720" w:type="dxa"/>
            <w:vAlign w:val="bottom"/>
            <w:gridSpan w:val="2"/>
          </w:tcPr>
          <w:p>
            <w:pPr>
              <w:spacing w:after="0"/>
              <w:rPr>
                <w:sz w:val="20"/>
                <w:szCs w:val="20"/>
                <w:color w:val="auto"/>
              </w:rPr>
            </w:pPr>
            <w:r>
              <w:rPr>
                <w:rFonts w:ascii="Arial" w:cs="Arial" w:eastAsia="Arial" w:hAnsi="Arial"/>
                <w:sz w:val="18"/>
                <w:szCs w:val="18"/>
                <w:color w:val="auto"/>
              </w:rPr>
              <w:t>CIBC Bank USA Committed Loan Facility</w:t>
            </w:r>
          </w:p>
        </w:tc>
        <w:tc>
          <w:tcPr>
            <w:tcW w:w="840" w:type="dxa"/>
            <w:vAlign w:val="bottom"/>
          </w:tcPr>
          <w:p>
            <w:pPr>
              <w:jc w:val="right"/>
              <w:spacing w:after="0"/>
              <w:rPr>
                <w:sz w:val="20"/>
                <w:szCs w:val="20"/>
                <w:color w:val="auto"/>
              </w:rPr>
            </w:pPr>
            <w:r>
              <w:rPr>
                <w:rFonts w:ascii="Arial" w:cs="Arial" w:eastAsia="Arial" w:hAnsi="Arial"/>
                <w:sz w:val="18"/>
                <w:szCs w:val="18"/>
                <w:color w:val="auto"/>
              </w:rPr>
              <w:t>12/3/2018</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6/1/2019</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12,000,000</w:t>
            </w:r>
          </w:p>
        </w:tc>
        <w:tc>
          <w:tcPr>
            <w:tcW w:w="700" w:type="dxa"/>
            <w:vAlign w:val="bottom"/>
            <w:gridSpan w:val="3"/>
          </w:tcPr>
          <w:p>
            <w:pPr>
              <w:ind w:left="240"/>
              <w:spacing w:after="0"/>
              <w:rPr>
                <w:sz w:val="20"/>
                <w:szCs w:val="20"/>
                <w:color w:val="auto"/>
              </w:rPr>
            </w:pPr>
            <w:r>
              <w:rPr>
                <w:rFonts w:ascii="Arial" w:cs="Arial" w:eastAsia="Arial" w:hAnsi="Arial"/>
                <w:sz w:val="18"/>
                <w:szCs w:val="18"/>
                <w:color w:val="auto"/>
                <w:w w:val="86"/>
              </w:rPr>
              <w:t>5.00%</w:t>
            </w:r>
          </w:p>
        </w:tc>
      </w:tr>
      <w:tr>
        <w:trPr>
          <w:trHeight w:val="257"/>
        </w:trPr>
        <w:tc>
          <w:tcPr>
            <w:tcW w:w="4720" w:type="dxa"/>
            <w:vAlign w:val="bottom"/>
            <w:gridSpan w:val="2"/>
          </w:tcPr>
          <w:p>
            <w:pPr>
              <w:spacing w:after="0"/>
              <w:rPr>
                <w:sz w:val="20"/>
                <w:szCs w:val="20"/>
                <w:color w:val="auto"/>
              </w:rPr>
            </w:pPr>
            <w:r>
              <w:rPr>
                <w:rFonts w:ascii="Arial" w:cs="Arial" w:eastAsia="Arial" w:hAnsi="Arial"/>
                <w:sz w:val="18"/>
                <w:szCs w:val="18"/>
                <w:color w:val="auto"/>
              </w:rPr>
              <w:t>CIBC Bank USA Demand Loan Facility</w:t>
            </w:r>
          </w:p>
        </w:tc>
        <w:tc>
          <w:tcPr>
            <w:tcW w:w="840" w:type="dxa"/>
            <w:vAlign w:val="bottom"/>
          </w:tcPr>
          <w:p>
            <w:pPr>
              <w:jc w:val="right"/>
              <w:spacing w:after="0"/>
              <w:rPr>
                <w:sz w:val="20"/>
                <w:szCs w:val="20"/>
                <w:color w:val="auto"/>
              </w:rPr>
            </w:pPr>
            <w:r>
              <w:rPr>
                <w:rFonts w:ascii="Arial" w:cs="Arial" w:eastAsia="Arial" w:hAnsi="Arial"/>
                <w:sz w:val="18"/>
                <w:szCs w:val="18"/>
                <w:color w:val="auto"/>
              </w:rPr>
              <w:t>12/3/2018</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6/1/2019</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4,000,000</w:t>
            </w:r>
          </w:p>
        </w:tc>
        <w:tc>
          <w:tcPr>
            <w:tcW w:w="700" w:type="dxa"/>
            <w:vAlign w:val="bottom"/>
            <w:gridSpan w:val="3"/>
          </w:tcPr>
          <w:p>
            <w:pPr>
              <w:ind w:left="240"/>
              <w:spacing w:after="0"/>
              <w:rPr>
                <w:sz w:val="20"/>
                <w:szCs w:val="20"/>
                <w:color w:val="auto"/>
              </w:rPr>
            </w:pPr>
            <w:r>
              <w:rPr>
                <w:rFonts w:ascii="Arial" w:cs="Arial" w:eastAsia="Arial" w:hAnsi="Arial"/>
                <w:sz w:val="18"/>
                <w:szCs w:val="18"/>
                <w:color w:val="auto"/>
                <w:w w:val="86"/>
              </w:rPr>
              <w:t>5.00%</w:t>
            </w:r>
          </w:p>
        </w:tc>
      </w:tr>
      <w:tr>
        <w:trPr>
          <w:trHeight w:val="257"/>
        </w:trPr>
        <w:tc>
          <w:tcPr>
            <w:tcW w:w="4720" w:type="dxa"/>
            <w:vAlign w:val="bottom"/>
            <w:gridSpan w:val="2"/>
          </w:tcPr>
          <w:p>
            <w:pPr>
              <w:spacing w:after="0"/>
              <w:rPr>
                <w:sz w:val="20"/>
                <w:szCs w:val="20"/>
                <w:color w:val="auto"/>
              </w:rPr>
            </w:pPr>
            <w:r>
              <w:rPr>
                <w:rFonts w:ascii="Arial" w:cs="Arial" w:eastAsia="Arial" w:hAnsi="Arial"/>
                <w:sz w:val="18"/>
                <w:szCs w:val="18"/>
                <w:color w:val="auto"/>
              </w:rPr>
              <w:t>CIBC Bank USA Demand Loan Facility</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12/20/2018</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6/18/2019</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16,500,000</w:t>
            </w:r>
          </w:p>
        </w:tc>
        <w:tc>
          <w:tcPr>
            <w:tcW w:w="700" w:type="dxa"/>
            <w:vAlign w:val="bottom"/>
            <w:gridSpan w:val="3"/>
          </w:tcPr>
          <w:p>
            <w:pPr>
              <w:ind w:left="240"/>
              <w:spacing w:after="0"/>
              <w:rPr>
                <w:sz w:val="20"/>
                <w:szCs w:val="20"/>
                <w:color w:val="auto"/>
              </w:rPr>
            </w:pPr>
            <w:r>
              <w:rPr>
                <w:rFonts w:ascii="Arial" w:cs="Arial" w:eastAsia="Arial" w:hAnsi="Arial"/>
                <w:sz w:val="18"/>
                <w:szCs w:val="18"/>
                <w:color w:val="auto"/>
                <w:w w:val="86"/>
              </w:rPr>
              <w:t>5.00%</w:t>
            </w:r>
          </w:p>
        </w:tc>
      </w:tr>
      <w:tr>
        <w:trPr>
          <w:trHeight w:val="263"/>
        </w:trPr>
        <w:tc>
          <w:tcPr>
            <w:tcW w:w="4720" w:type="dxa"/>
            <w:vAlign w:val="bottom"/>
            <w:gridSpan w:val="2"/>
          </w:tcPr>
          <w:p>
            <w:pPr>
              <w:spacing w:after="0"/>
              <w:rPr>
                <w:sz w:val="20"/>
                <w:szCs w:val="20"/>
                <w:color w:val="auto"/>
              </w:rPr>
            </w:pPr>
            <w:r>
              <w:rPr>
                <w:rFonts w:ascii="Arial" w:cs="Arial" w:eastAsia="Arial" w:hAnsi="Arial"/>
                <w:sz w:val="18"/>
                <w:szCs w:val="18"/>
                <w:color w:val="auto"/>
              </w:rPr>
              <w:t>CIBC Bank USA Demand Loan Facility</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12/28/2018</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6/26/2019</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9,000,000</w:t>
            </w:r>
          </w:p>
        </w:tc>
        <w:tc>
          <w:tcPr>
            <w:tcW w:w="700" w:type="dxa"/>
            <w:vAlign w:val="bottom"/>
            <w:gridSpan w:val="3"/>
          </w:tcPr>
          <w:p>
            <w:pPr>
              <w:ind w:left="240"/>
              <w:spacing w:after="0"/>
              <w:rPr>
                <w:sz w:val="20"/>
                <w:szCs w:val="20"/>
                <w:color w:val="auto"/>
              </w:rPr>
            </w:pPr>
            <w:r>
              <w:rPr>
                <w:rFonts w:ascii="Arial" w:cs="Arial" w:eastAsia="Arial" w:hAnsi="Arial"/>
                <w:sz w:val="18"/>
                <w:szCs w:val="18"/>
                <w:color w:val="auto"/>
                <w:w w:val="86"/>
              </w:rPr>
              <w:t>5.00%</w:t>
            </w:r>
          </w:p>
        </w:tc>
      </w:tr>
      <w:tr>
        <w:trPr>
          <w:trHeight w:val="20"/>
        </w:trPr>
        <w:tc>
          <w:tcPr>
            <w:tcW w:w="4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4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59,500,000</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-864870</wp:posOffset>
            </wp:positionV>
            <wp:extent cx="5212080" cy="1631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-539115</wp:posOffset>
            </wp:positionV>
            <wp:extent cx="5212080" cy="1631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52120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-1199515</wp:posOffset>
            </wp:positionV>
            <wp:extent cx="5212080"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 Financial Highlights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Year ended</w:t>
            </w:r>
          </w:p>
        </w:tc>
        <w:tc>
          <w:tcPr>
            <w:tcW w:w="10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December 31,</w:t>
            </w: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top w:val="single" w:sz="8" w:color="CCEEFF"/>
              <w:right w:val="single" w:sz="8" w:color="CCEEFF"/>
            </w:tcBorders>
            <w:shd w:val="clear" w:color="auto" w:fill="CCEEFF"/>
          </w:tcPr>
          <w:p>
            <w:pPr>
              <w:spacing w:after="0" w:line="263"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26"/>
                <w:szCs w:val="26"/>
                <w:b w:val="1"/>
                <w:bCs w:val="1"/>
                <w:color w:val="auto"/>
                <w:vertAlign w:val="superscript"/>
              </w:rPr>
              <w:t>(1)</w:t>
            </w:r>
            <w:r>
              <w:rPr>
                <w:rFonts w:ascii="Arial" w:cs="Arial" w:eastAsia="Arial" w:hAnsi="Arial"/>
                <w:sz w:val="18"/>
                <w:szCs w:val="18"/>
                <w:b w:val="1"/>
                <w:bCs w:val="1"/>
                <w:color w:val="auto"/>
              </w:rPr>
              <w:t>:</w:t>
            </w: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20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spacing w:after="0"/>
              <w:rPr>
                <w:sz w:val="20"/>
                <w:szCs w:val="20"/>
                <w:color w:val="auto"/>
              </w:rPr>
            </w:pPr>
            <w:r>
              <w:rPr>
                <w:rFonts w:ascii="Arial" w:cs="Arial" w:eastAsia="Arial" w:hAnsi="Arial"/>
                <w:sz w:val="18"/>
                <w:szCs w:val="18"/>
                <w:color w:val="auto"/>
              </w:rPr>
              <w:t>Net asset value at beginning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15.14</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14.66</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80" w:type="dxa"/>
            <w:vAlign w:val="bottom"/>
            <w:tcBorders>
              <w:right w:val="single" w:sz="8" w:color="CCEEFF"/>
            </w:tcBorders>
            <w:shd w:val="clear" w:color="auto" w:fill="CCEEFF"/>
          </w:tcPr>
          <w:p>
            <w:pPr>
              <w:spacing w:after="0" w:line="270" w:lineRule="exact"/>
              <w:rPr>
                <w:sz w:val="20"/>
                <w:szCs w:val="20"/>
                <w:color w:val="auto"/>
              </w:rPr>
            </w:pPr>
            <w:r>
              <w:rPr>
                <w:rFonts w:ascii="Arial" w:cs="Arial" w:eastAsia="Arial" w:hAnsi="Arial"/>
                <w:sz w:val="18"/>
                <w:szCs w:val="18"/>
                <w:color w:val="auto"/>
              </w:rPr>
              <w:t>Net investment income (loss)</w:t>
            </w:r>
            <w:r>
              <w:rPr>
                <w:rFonts w:ascii="Arial" w:cs="Arial" w:eastAsia="Arial" w:hAnsi="Arial"/>
                <w:sz w:val="26"/>
                <w:szCs w:val="26"/>
                <w:color w:val="auto"/>
                <w:vertAlign w:val="superscript"/>
              </w:rPr>
              <w:t>(3)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20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spacing w:after="0"/>
              <w:rPr>
                <w:sz w:val="20"/>
                <w:szCs w:val="20"/>
                <w:color w:val="auto"/>
              </w:rPr>
            </w:pPr>
            <w:r>
              <w:rPr>
                <w:rFonts w:ascii="Arial" w:cs="Arial" w:eastAsia="Arial" w:hAnsi="Arial"/>
                <w:sz w:val="18"/>
                <w:szCs w:val="18"/>
                <w:color w:val="auto"/>
              </w:rPr>
              <w:t>Realized gain (loss)</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unrealized appreciation</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00" w:type="dxa"/>
            <w:vAlign w:val="bottom"/>
            <w:gridSpan w:val="2"/>
          </w:tcPr>
          <w:p>
            <w:pPr>
              <w:spacing w:after="0"/>
              <w:rPr>
                <w:sz w:val="20"/>
                <w:szCs w:val="20"/>
                <w:color w:val="auto"/>
              </w:rPr>
            </w:pPr>
            <w:r>
              <w:rPr>
                <w:rFonts w:ascii="Arial" w:cs="Arial" w:eastAsia="Arial" w:hAnsi="Arial"/>
                <w:sz w:val="18"/>
                <w:szCs w:val="18"/>
                <w:color w:val="auto"/>
              </w:rPr>
              <w:t>Issuance of common shares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79.20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vMerge w:val="continue"/>
          </w:tcPr>
          <w:p>
            <w:pPr>
              <w:spacing w:after="0"/>
              <w:rPr>
                <w:sz w:val="23"/>
                <w:szCs w:val="23"/>
                <w:color w:val="auto"/>
              </w:rPr>
            </w:pPr>
          </w:p>
        </w:tc>
        <w:tc>
          <w:tcPr>
            <w:tcW w:w="3680" w:type="dxa"/>
            <w:vAlign w:val="bottom"/>
          </w:tcPr>
          <w:p>
            <w:pPr>
              <w:spacing w:after="0" w:line="270" w:lineRule="exact"/>
              <w:rPr>
                <w:sz w:val="20"/>
                <w:szCs w:val="20"/>
                <w:color w:val="auto"/>
              </w:rPr>
            </w:pPr>
            <w:r>
              <w:rPr>
                <w:rFonts w:ascii="Arial" w:cs="Arial" w:eastAsia="Arial" w:hAnsi="Arial"/>
                <w:sz w:val="18"/>
                <w:szCs w:val="18"/>
                <w:color w:val="auto"/>
              </w:rPr>
              <w:t>Accretion</w:t>
            </w:r>
            <w:r>
              <w:rPr>
                <w:rFonts w:ascii="Arial" w:cs="Arial" w:eastAsia="Arial" w:hAnsi="Arial"/>
                <w:sz w:val="26"/>
                <w:szCs w:val="26"/>
                <w:color w:val="auto"/>
                <w:vertAlign w:val="superscript"/>
              </w:rPr>
              <w:t>(4)</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0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spacing w:after="0" w:line="270" w:lineRule="exact"/>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26"/>
                <w:szCs w:val="26"/>
                <w:color w:val="auto"/>
                <w:vertAlign w:val="superscript"/>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Weighted-average shares outstanding for year,</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18,701,021</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9,300,960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2,795,274</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10,774</w:t>
            </w:r>
          </w:p>
        </w:tc>
        <w:tc>
          <w:tcPr>
            <w:tcW w:w="20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376,313,221</w:t>
            </w:r>
          </w:p>
        </w:tc>
        <w:tc>
          <w:tcPr>
            <w:tcW w:w="2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167,369,395</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127,040,377</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3,476,672</w:t>
            </w:r>
          </w:p>
        </w:tc>
        <w:tc>
          <w:tcPr>
            <w:tcW w:w="20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700" w:type="dxa"/>
            <w:vAlign w:val="bottom"/>
            <w:gridSpan w:val="2"/>
          </w:tcPr>
          <w:p>
            <w:pPr>
              <w:spacing w:after="0" w:line="283" w:lineRule="exact"/>
              <w:rPr>
                <w:sz w:val="20"/>
                <w:szCs w:val="20"/>
                <w:color w:val="auto"/>
              </w:rPr>
            </w:pPr>
            <w:r>
              <w:rPr>
                <w:rFonts w:ascii="Arial" w:cs="Arial" w:eastAsia="Arial" w:hAnsi="Arial"/>
                <w:sz w:val="18"/>
                <w:szCs w:val="18"/>
                <w:color w:val="auto"/>
              </w:rPr>
              <w:t>Average net assets</w:t>
            </w:r>
            <w:r>
              <w:rPr>
                <w:rFonts w:ascii="Arial" w:cs="Arial" w:eastAsia="Arial" w:hAnsi="Arial"/>
                <w:sz w:val="26"/>
                <w:szCs w:val="26"/>
                <w:color w:val="auto"/>
                <w:vertAlign w:val="superscript"/>
              </w:rPr>
              <w:t>(5)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283,773,605</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141,046,177</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40,388,772</w:t>
            </w:r>
          </w:p>
        </w:tc>
        <w:tc>
          <w:tcPr>
            <w:tcW w:w="2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151,520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tcPr>
          <w:p>
            <w:pPr>
              <w:spacing w:after="0" w:line="205" w:lineRule="exact"/>
              <w:rPr>
                <w:sz w:val="20"/>
                <w:szCs w:val="20"/>
                <w:color w:val="auto"/>
              </w:rPr>
            </w:pPr>
            <w:r>
              <w:rPr>
                <w:rFonts w:ascii="Arial" w:cs="Arial" w:eastAsia="Arial" w:hAnsi="Arial"/>
                <w:sz w:val="18"/>
                <w:szCs w:val="18"/>
                <w:color w:val="auto"/>
              </w:rPr>
              <w:t>Annualized ratio of net operating expenses to</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3680" w:type="dxa"/>
            <w:vAlign w:val="bottom"/>
          </w:tcPr>
          <w:p>
            <w:pPr>
              <w:ind w:left="160"/>
              <w:spacing w:after="0" w:line="295" w:lineRule="exact"/>
              <w:rPr>
                <w:sz w:val="20"/>
                <w:szCs w:val="20"/>
                <w:color w:val="auto"/>
              </w:rPr>
            </w:pPr>
            <w:r>
              <w:rPr>
                <w:rFonts w:ascii="Arial" w:cs="Arial" w:eastAsia="Arial" w:hAnsi="Arial"/>
                <w:sz w:val="18"/>
                <w:szCs w:val="18"/>
                <w:color w:val="auto"/>
              </w:rPr>
              <w:t>average net assets</w:t>
            </w:r>
            <w:r>
              <w:rPr>
                <w:rFonts w:ascii="Arial" w:cs="Arial" w:eastAsia="Arial" w:hAnsi="Arial"/>
                <w:sz w:val="26"/>
                <w:szCs w:val="26"/>
                <w:color w:val="auto"/>
                <w:vertAlign w:val="superscript"/>
              </w:rPr>
              <w:t>(6)</w:t>
            </w:r>
          </w:p>
        </w:tc>
        <w:tc>
          <w:tcPr>
            <w:tcW w:w="10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585.90%</w:t>
            </w:r>
          </w:p>
        </w:tc>
        <w:tc>
          <w:tcPr>
            <w:tcW w:w="0" w:type="dxa"/>
            <w:vAlign w:val="bottom"/>
          </w:tcPr>
          <w:p>
            <w:pPr>
              <w:spacing w:after="0"/>
              <w:rPr>
                <w:sz w:val="1"/>
                <w:szCs w:val="1"/>
                <w:color w:val="auto"/>
              </w:rPr>
            </w:pPr>
          </w:p>
        </w:tc>
      </w:tr>
      <w:tr>
        <w:trPr>
          <w:trHeight w:val="242"/>
        </w:trPr>
        <w:tc>
          <w:tcPr>
            <w:tcW w:w="3700" w:type="dxa"/>
            <w:vAlign w:val="bottom"/>
            <w:gridSpan w:val="2"/>
          </w:tcPr>
          <w:p>
            <w:pPr>
              <w:spacing w:after="0"/>
              <w:rPr>
                <w:sz w:val="20"/>
                <w:szCs w:val="20"/>
                <w:color w:val="auto"/>
              </w:rPr>
            </w:pPr>
            <w:r>
              <w:rPr>
                <w:rFonts w:ascii="Arial" w:cs="Arial" w:eastAsia="Arial" w:hAnsi="Arial"/>
                <w:sz w:val="18"/>
                <w:szCs w:val="18"/>
                <w:color w:val="auto"/>
              </w:rPr>
              <w:t>Annualized ratio of net increase (decrease) in</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net assets resulting from operations to</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average net assets</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(595.90)%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-753745</wp:posOffset>
            </wp:positionV>
            <wp:extent cx="5212080" cy="3175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212080" cy="31750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-2108200</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-3419475</wp:posOffset>
            </wp:positionV>
            <wp:extent cx="1371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-3419475</wp:posOffset>
            </wp:positionV>
            <wp:extent cx="1371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-3419475</wp:posOffset>
            </wp:positionV>
            <wp:extent cx="31115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1115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1" w:lineRule="exact"/>
        <w:rPr>
          <w:sz w:val="20"/>
          <w:szCs w:val="20"/>
          <w:color w:val="auto"/>
        </w:rPr>
      </w:pPr>
    </w:p>
    <w:p>
      <w:pPr>
        <w:ind w:left="1620" w:hanging="358"/>
        <w:spacing w:after="0"/>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highlights are based on weighted-average shares outstanding.</w:t>
      </w:r>
    </w:p>
    <w:p>
      <w:pPr>
        <w:spacing w:after="0" w:line="76" w:lineRule="exact"/>
        <w:rPr>
          <w:rFonts w:ascii="Arial" w:cs="Arial" w:eastAsia="Arial" w:hAnsi="Arial"/>
          <w:sz w:val="18"/>
          <w:szCs w:val="18"/>
          <w:color w:val="auto"/>
        </w:rPr>
      </w:pPr>
    </w:p>
    <w:p>
      <w:pPr>
        <w:ind w:left="1620" w:right="679" w:hanging="358"/>
        <w:spacing w:after="0" w:line="277"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Total return based on net asset value is based upon the change in net asset value per share between the opening and ending net asset values per share in the year.</w:t>
      </w:r>
    </w:p>
    <w:p>
      <w:pPr>
        <w:spacing w:after="0" w:line="35" w:lineRule="exact"/>
        <w:rPr>
          <w:rFonts w:ascii="Arial" w:cs="Arial" w:eastAsia="Arial" w:hAnsi="Arial"/>
          <w:sz w:val="18"/>
          <w:szCs w:val="18"/>
          <w:color w:val="auto"/>
        </w:rPr>
      </w:pPr>
    </w:p>
    <w:p>
      <w:pPr>
        <w:jc w:val="both"/>
        <w:ind w:left="1620" w:right="679" w:hanging="358"/>
        <w:spacing w:after="0" w:line="263"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Return from investment operations was 12.88%, 8.59%, and (6.36)% for the years ended December 31, 2019, 2018 and 2017, respectively. Return from investment operations represents returns on net investment income (loss) from operations.</w:t>
      </w:r>
    </w:p>
    <w:p>
      <w:pPr>
        <w:sectPr>
          <w:pgSz w:w="11900" w:h="16838" w:orient="portrait"/>
          <w:cols w:equalWidth="0" w:num="1">
            <w:col w:w="10139"/>
          </w:cols>
          <w:pgMar w:left="32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680656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5" w:name="page116"/>
    <w:bookmarkEnd w:id="115"/>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189" w:lineRule="exact"/>
        <w:rPr>
          <w:sz w:val="20"/>
          <w:szCs w:val="20"/>
          <w:color w:val="auto"/>
        </w:rPr>
      </w:pPr>
    </w:p>
    <w:p>
      <w:pPr>
        <w:ind w:left="1620" w:right="679" w:hanging="358"/>
        <w:spacing w:after="0" w:line="277"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Return from accretion was 0.88%, (0.07)%, and 46.24% for the years ended December 31, 2019, 2018 and 2017, respectively.</w:t>
      </w:r>
    </w:p>
    <w:p>
      <w:pPr>
        <w:spacing w:after="0" w:line="48" w:lineRule="exact"/>
        <w:rPr>
          <w:rFonts w:ascii="Arial" w:cs="Arial" w:eastAsia="Arial" w:hAnsi="Arial"/>
          <w:sz w:val="18"/>
          <w:szCs w:val="18"/>
          <w:color w:val="auto"/>
        </w:rPr>
      </w:pPr>
    </w:p>
    <w:p>
      <w:pPr>
        <w:ind w:left="1620" w:right="679" w:hanging="358"/>
        <w:spacing w:after="0" w:line="277"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annualized ratio of net investment income (loss) to average net assets was 12.85%, 8.30%, and (4.56)% for the years ended December 31, 2019, 2018 and 2017, respectively.</w:t>
      </w:r>
    </w:p>
    <w:p>
      <w:pPr>
        <w:spacing w:after="0" w:line="48" w:lineRule="exact"/>
        <w:rPr>
          <w:rFonts w:ascii="Arial" w:cs="Arial" w:eastAsia="Arial" w:hAnsi="Arial"/>
          <w:sz w:val="18"/>
          <w:szCs w:val="18"/>
          <w:color w:val="auto"/>
        </w:rPr>
      </w:pPr>
    </w:p>
    <w:p>
      <w:pPr>
        <w:ind w:left="1620" w:right="679" w:hanging="358"/>
        <w:spacing w:after="0" w:line="308" w:lineRule="auto"/>
        <w:tabs>
          <w:tab w:leader="none" w:pos="16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annualized ratio of net operating expenses excluding management fees, to average net assets was 4.79%, 2.63%, and 3.58% for the years ended December 31, 2019, 2018 and 2017, respectively.</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12 — Selected Quarterly Financial Data (Unaudited)</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6"/>
              </w:rPr>
              <w:t>June 30,</w:t>
            </w:r>
          </w:p>
        </w:tc>
        <w:tc>
          <w:tcPr>
            <w:tcW w:w="1020" w:type="dxa"/>
            <w:vAlign w:val="bottom"/>
            <w:gridSpan w:val="6"/>
          </w:tcPr>
          <w:p>
            <w:pPr>
              <w:ind w:left="2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4260" w:type="dxa"/>
            <w:vAlign w:val="bottom"/>
          </w:tcPr>
          <w:p>
            <w:pPr>
              <w:spacing w:after="0"/>
              <w:rPr>
                <w:sz w:val="16"/>
                <w:szCs w:val="16"/>
                <w:color w:val="auto"/>
              </w:rPr>
            </w:pPr>
          </w:p>
        </w:tc>
        <w:tc>
          <w:tcPr>
            <w:tcW w:w="920" w:type="dxa"/>
            <w:vAlign w:val="bottom"/>
            <w:gridSpan w:val="3"/>
          </w:tcPr>
          <w:p>
            <w:pPr>
              <w:ind w:left="30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4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$12,150,329</w:t>
            </w:r>
          </w:p>
        </w:tc>
        <w:tc>
          <w:tcPr>
            <w:tcW w:w="80" w:type="dxa"/>
            <w:vAlign w:val="bottom"/>
            <w:shd w:val="clear" w:color="auto" w:fill="CCEEFF"/>
          </w:tcPr>
          <w:p>
            <w:pPr>
              <w:spacing w:after="0"/>
              <w:rPr>
                <w:sz w:val="24"/>
                <w:szCs w:val="24"/>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$16,395,990</w:t>
            </w:r>
          </w:p>
        </w:tc>
        <w:tc>
          <w:tcPr>
            <w:tcW w:w="80" w:type="dxa"/>
            <w:vAlign w:val="bottom"/>
            <w:shd w:val="clear" w:color="auto" w:fill="CCEEFF"/>
          </w:tcPr>
          <w:p>
            <w:pPr>
              <w:spacing w:after="0"/>
              <w:rPr>
                <w:sz w:val="24"/>
                <w:szCs w:val="24"/>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$11,834,485</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$ 14,758,332</w:t>
            </w:r>
          </w:p>
        </w:tc>
        <w:tc>
          <w:tcPr>
            <w:tcW w:w="60" w:type="dxa"/>
            <w:vAlign w:val="bottom"/>
          </w:tcPr>
          <w:p>
            <w:pPr>
              <w:spacing w:after="0"/>
              <w:rPr>
                <w:sz w:val="24"/>
                <w:szCs w:val="24"/>
                <w:color w:val="auto"/>
              </w:rPr>
            </w:pPr>
          </w:p>
        </w:tc>
      </w:tr>
      <w:tr>
        <w:trPr>
          <w:trHeight w:val="283"/>
        </w:trPr>
        <w:tc>
          <w:tcPr>
            <w:tcW w:w="42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4,076,305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5,025,981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4,329,742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5,253,277</w:t>
            </w:r>
          </w:p>
        </w:tc>
        <w:tc>
          <w:tcPr>
            <w:tcW w:w="60" w:type="dxa"/>
            <w:vAlign w:val="bottom"/>
          </w:tcPr>
          <w:p>
            <w:pPr>
              <w:spacing w:after="0"/>
              <w:rPr>
                <w:sz w:val="24"/>
                <w:szCs w:val="24"/>
                <w:color w:val="auto"/>
              </w:rPr>
            </w:pPr>
          </w:p>
        </w:tc>
      </w:tr>
      <w:tr>
        <w:trPr>
          <w:trHeight w:val="284"/>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8,074,024</w:t>
            </w:r>
          </w:p>
        </w:tc>
        <w:tc>
          <w:tcPr>
            <w:tcW w:w="80" w:type="dxa"/>
            <w:vAlign w:val="bottom"/>
            <w:shd w:val="clear" w:color="auto" w:fill="CCEEFF"/>
          </w:tcPr>
          <w:p>
            <w:pPr>
              <w:spacing w:after="0"/>
              <w:rPr>
                <w:sz w:val="24"/>
                <w:szCs w:val="24"/>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11,370,009</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7,504,743</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9,505,055</w:t>
            </w:r>
          </w:p>
        </w:tc>
        <w:tc>
          <w:tcPr>
            <w:tcW w:w="60" w:type="dxa"/>
            <w:vAlign w:val="bottom"/>
          </w:tcPr>
          <w:p>
            <w:pPr>
              <w:spacing w:after="0"/>
              <w:rPr>
                <w:sz w:val="24"/>
                <w:szCs w:val="24"/>
                <w:color w:val="auto"/>
              </w:rPr>
            </w:pPr>
          </w:p>
        </w:tc>
      </w:tr>
      <w:tr>
        <w:trPr>
          <w:trHeight w:val="283"/>
        </w:trPr>
        <w:tc>
          <w:tcPr>
            <w:tcW w:w="426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493,308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(966)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116,689</w:t>
            </w:r>
          </w:p>
        </w:tc>
        <w:tc>
          <w:tcPr>
            <w:tcW w:w="60" w:type="dxa"/>
            <w:vAlign w:val="bottom"/>
          </w:tcPr>
          <w:p>
            <w:pPr>
              <w:spacing w:after="0"/>
              <w:rPr>
                <w:sz w:val="24"/>
                <w:szCs w:val="24"/>
                <w:color w:val="auto"/>
              </w:rPr>
            </w:pPr>
          </w:p>
        </w:tc>
      </w:tr>
      <w:tr>
        <w:trPr>
          <w:trHeight w:val="25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5"/>
              </w:rPr>
              <w:t>Net change in unrealized appreciation (depreciation) on</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44"/>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(2,240,510)</w:t>
            </w: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(3,247,119)</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(2,782,423)</w:t>
            </w:r>
          </w:p>
        </w:tc>
        <w:tc>
          <w:tcPr>
            <w:tcW w:w="2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(1,146,410)</w:t>
            </w:r>
          </w:p>
        </w:tc>
        <w:tc>
          <w:tcPr>
            <w:tcW w:w="60" w:type="dxa"/>
            <w:vAlign w:val="bottom"/>
          </w:tcPr>
          <w:p>
            <w:pPr>
              <w:spacing w:after="0"/>
              <w:rPr>
                <w:sz w:val="21"/>
                <w:szCs w:val="21"/>
                <w:color w:val="auto"/>
              </w:rPr>
            </w:pPr>
          </w:p>
        </w:tc>
      </w:tr>
      <w:tr>
        <w:trPr>
          <w:trHeight w:val="290"/>
        </w:trPr>
        <w:tc>
          <w:tcPr>
            <w:tcW w:w="4260" w:type="dxa"/>
            <w:vAlign w:val="bottom"/>
          </w:tcPr>
          <w:p>
            <w:pPr>
              <w:spacing w:after="0"/>
              <w:rPr>
                <w:sz w:val="20"/>
                <w:szCs w:val="20"/>
                <w:color w:val="auto"/>
              </w:rPr>
            </w:pPr>
            <w:r>
              <w:rPr>
                <w:rFonts w:ascii="Arial" w:cs="Arial" w:eastAsia="Arial" w:hAnsi="Arial"/>
                <w:sz w:val="18"/>
                <w:szCs w:val="18"/>
                <w:color w:val="auto"/>
                <w:w w:val="90"/>
              </w:rPr>
              <w:t>Increase (decrease) in net assets resulting from operations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5,833,514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8,616,198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4,721,354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8,475,334</w:t>
            </w:r>
          </w:p>
        </w:tc>
        <w:tc>
          <w:tcPr>
            <w:tcW w:w="60" w:type="dxa"/>
            <w:vAlign w:val="bottom"/>
          </w:tcPr>
          <w:p>
            <w:pPr>
              <w:spacing w:after="0"/>
              <w:rPr>
                <w:sz w:val="24"/>
                <w:szCs w:val="24"/>
                <w:color w:val="auto"/>
              </w:rPr>
            </w:pPr>
          </w:p>
        </w:tc>
      </w:tr>
      <w:tr>
        <w:trPr>
          <w:trHeight w:val="27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0"/>
              </w:rPr>
              <w:t>Increase (decrease) in net assets resulting from operations</w:t>
            </w: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r>
      <w:tr>
        <w:trPr>
          <w:trHeight w:val="244"/>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60" w:type="dxa"/>
            <w:vAlign w:val="bottom"/>
          </w:tcPr>
          <w:p>
            <w:pPr>
              <w:spacing w:after="0"/>
              <w:rPr>
                <w:sz w:val="21"/>
                <w:szCs w:val="21"/>
                <w:color w:val="auto"/>
              </w:rPr>
            </w:pPr>
          </w:p>
        </w:tc>
      </w:tr>
      <w:tr>
        <w:trPr>
          <w:trHeight w:val="297"/>
        </w:trPr>
        <w:tc>
          <w:tcPr>
            <w:tcW w:w="4260" w:type="dxa"/>
            <w:vAlign w:val="bottom"/>
          </w:tcPr>
          <w:p>
            <w:pPr>
              <w:spacing w:after="0"/>
              <w:rPr>
                <w:sz w:val="20"/>
                <w:szCs w:val="20"/>
                <w:color w:val="auto"/>
              </w:rPr>
            </w:pPr>
            <w:r>
              <w:rPr>
                <w:rFonts w:ascii="Arial" w:cs="Arial" w:eastAsia="Arial" w:hAnsi="Arial"/>
                <w:sz w:val="18"/>
                <w:szCs w:val="18"/>
                <w:color w:val="auto"/>
              </w:rPr>
              <w:t>Net asset value per share as of the end of the period</w:t>
            </w: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15.13</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14.76</w:t>
            </w:r>
          </w:p>
        </w:tc>
        <w:tc>
          <w:tcPr>
            <w:tcW w:w="8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14.58</w:t>
            </w:r>
          </w:p>
        </w:tc>
        <w:tc>
          <w:tcPr>
            <w:tcW w:w="60" w:type="dxa"/>
            <w:vAlign w:val="bottom"/>
          </w:tcPr>
          <w:p>
            <w:pPr>
              <w:spacing w:after="0"/>
              <w:rPr>
                <w:sz w:val="24"/>
                <w:szCs w:val="24"/>
                <w:color w:val="auto"/>
              </w:rPr>
            </w:pPr>
          </w:p>
        </w:tc>
      </w:tr>
      <w:tr>
        <w:trPr>
          <w:trHeight w:val="369"/>
        </w:trPr>
        <w:tc>
          <w:tcPr>
            <w:tcW w:w="4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June 30,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r>
      <w:tr>
        <w:trPr>
          <w:trHeight w:val="25"/>
        </w:trPr>
        <w:tc>
          <w:tcPr>
            <w:tcW w:w="42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$3,370,571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4,409,042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5,516,079</w:t>
            </w:r>
          </w:p>
        </w:tc>
        <w:tc>
          <w:tcPr>
            <w:tcW w:w="2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$7,460,362</w:t>
            </w:r>
          </w:p>
        </w:tc>
        <w:tc>
          <w:tcPr>
            <w:tcW w:w="60" w:type="dxa"/>
            <w:vAlign w:val="bottom"/>
          </w:tcPr>
          <w:p>
            <w:pPr>
              <w:spacing w:after="0"/>
              <w:rPr>
                <w:sz w:val="21"/>
                <w:szCs w:val="21"/>
                <w:color w:val="auto"/>
              </w:rPr>
            </w:pPr>
          </w:p>
        </w:tc>
      </w:tr>
      <w:tr>
        <w:trPr>
          <w:trHeight w:val="257"/>
        </w:trPr>
        <w:tc>
          <w:tcPr>
            <w:tcW w:w="42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7"/>
              </w:rPr>
              <w:t>1,690,847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7"/>
              </w:rPr>
              <w:t>1,760,814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2,411,145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3,186,831</w:t>
            </w:r>
          </w:p>
        </w:tc>
        <w:tc>
          <w:tcPr>
            <w:tcW w:w="60" w:type="dxa"/>
            <w:vAlign w:val="bottom"/>
          </w:tcPr>
          <w:p>
            <w:pPr>
              <w:spacing w:after="0"/>
              <w:rPr>
                <w:sz w:val="22"/>
                <w:szCs w:val="22"/>
                <w:color w:val="auto"/>
              </w:rPr>
            </w:pPr>
          </w:p>
        </w:tc>
      </w:tr>
      <w:tr>
        <w:trPr>
          <w:trHeight w:val="25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1,679,724</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2,648,228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3,104,934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4,273,531</w:t>
            </w:r>
          </w:p>
        </w:tc>
        <w:tc>
          <w:tcPr>
            <w:tcW w:w="60" w:type="dxa"/>
            <w:vAlign w:val="bottom"/>
          </w:tcPr>
          <w:p>
            <w:pPr>
              <w:spacing w:after="0"/>
              <w:rPr>
                <w:sz w:val="22"/>
                <w:szCs w:val="22"/>
                <w:color w:val="auto"/>
              </w:rPr>
            </w:pPr>
          </w:p>
        </w:tc>
      </w:tr>
      <w:tr>
        <w:trPr>
          <w:trHeight w:val="270"/>
        </w:trPr>
        <w:tc>
          <w:tcPr>
            <w:tcW w:w="426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59,792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2"/>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5"/>
              </w:rPr>
              <w:t>Net change in unrealized appreciation (depreciation) on</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(336,207)</w:t>
            </w:r>
          </w:p>
        </w:tc>
        <w:tc>
          <w:tcPr>
            <w:tcW w:w="120" w:type="dxa"/>
            <w:vAlign w:val="bottom"/>
            <w:shd w:val="clear" w:color="auto" w:fill="CCEEFF"/>
          </w:tcPr>
          <w:p>
            <w:pPr>
              <w:spacing w:after="0"/>
              <w:rPr>
                <w:sz w:val="21"/>
                <w:szCs w:val="21"/>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(459,019)</w:t>
            </w: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493,648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292,885</w:t>
            </w:r>
          </w:p>
        </w:tc>
        <w:tc>
          <w:tcPr>
            <w:tcW w:w="60" w:type="dxa"/>
            <w:vAlign w:val="bottom"/>
          </w:tcPr>
          <w:p>
            <w:pPr>
              <w:spacing w:after="0"/>
              <w:rPr>
                <w:sz w:val="21"/>
                <w:szCs w:val="21"/>
                <w:color w:val="auto"/>
              </w:rPr>
            </w:pPr>
          </w:p>
        </w:tc>
      </w:tr>
      <w:tr>
        <w:trPr>
          <w:trHeight w:val="270"/>
        </w:trPr>
        <w:tc>
          <w:tcPr>
            <w:tcW w:w="4260" w:type="dxa"/>
            <w:vAlign w:val="bottom"/>
          </w:tcPr>
          <w:p>
            <w:pPr>
              <w:spacing w:after="0"/>
              <w:rPr>
                <w:sz w:val="20"/>
                <w:szCs w:val="20"/>
                <w:color w:val="auto"/>
              </w:rPr>
            </w:pPr>
            <w:r>
              <w:rPr>
                <w:rFonts w:ascii="Arial" w:cs="Arial" w:eastAsia="Arial" w:hAnsi="Arial"/>
                <w:sz w:val="18"/>
                <w:szCs w:val="18"/>
                <w:color w:val="auto"/>
                <w:w w:val="90"/>
              </w:rPr>
              <w:t>Increase (decrease) in net assets resulting from operations</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7"/>
              </w:rPr>
              <w:t>1,403,309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7"/>
              </w:rPr>
              <w:t>2,189,209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3,598,582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4,566,416</w:t>
            </w:r>
          </w:p>
        </w:tc>
        <w:tc>
          <w:tcPr>
            <w:tcW w:w="60" w:type="dxa"/>
            <w:vAlign w:val="bottom"/>
          </w:tcPr>
          <w:p>
            <w:pPr>
              <w:spacing w:after="0"/>
              <w:rPr>
                <w:sz w:val="23"/>
                <w:szCs w:val="23"/>
                <w:color w:val="auto"/>
              </w:rPr>
            </w:pPr>
          </w:p>
        </w:tc>
      </w:tr>
      <w:tr>
        <w:trPr>
          <w:trHeight w:val="242"/>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Increase (decrease) in net assets resulting from operations per</w:t>
            </w: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21"/>
                <w:szCs w:val="21"/>
                <w:color w:val="auto"/>
              </w:rPr>
            </w:pPr>
          </w:p>
        </w:tc>
      </w:tr>
      <w:tr>
        <w:trPr>
          <w:trHeight w:val="270"/>
        </w:trPr>
        <w:tc>
          <w:tcPr>
            <w:tcW w:w="4260" w:type="dxa"/>
            <w:vAlign w:val="bottom"/>
          </w:tcPr>
          <w:p>
            <w:pPr>
              <w:spacing w:after="0"/>
              <w:rPr>
                <w:sz w:val="20"/>
                <w:szCs w:val="20"/>
                <w:color w:val="auto"/>
              </w:rPr>
            </w:pPr>
            <w:r>
              <w:rPr>
                <w:rFonts w:ascii="Arial" w:cs="Arial" w:eastAsia="Arial" w:hAnsi="Arial"/>
                <w:sz w:val="18"/>
                <w:szCs w:val="18"/>
                <w:color w:val="auto"/>
              </w:rPr>
              <w:t>Net asset value per share as of the end of the period</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14.82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14.92</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15.07</w:t>
            </w:r>
          </w:p>
        </w:tc>
        <w:tc>
          <w:tcPr>
            <w:tcW w:w="20" w:type="dxa"/>
            <w:vAlign w:val="bottom"/>
          </w:tcPr>
          <w:p>
            <w:pPr>
              <w:spacing w:after="0"/>
              <w:rPr>
                <w:sz w:val="23"/>
                <w:szCs w:val="23"/>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15.14</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-3745230</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-3745230</wp:posOffset>
            </wp:positionV>
            <wp:extent cx="514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-3745230</wp:posOffset>
            </wp:positionV>
            <wp:extent cx="333438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3438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-1628140</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-1628140</wp:posOffset>
            </wp:positionV>
            <wp:extent cx="514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-1628140</wp:posOffset>
            </wp:positionV>
            <wp:extent cx="3480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June 30,</w:t>
            </w:r>
          </w:p>
        </w:tc>
        <w:tc>
          <w:tcPr>
            <w:tcW w:w="11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6"/>
              </w:rPr>
              <w:t>September 30,</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r>
      <w:tr>
        <w:trPr>
          <w:trHeight w:val="26"/>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77"/>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128,093</w:t>
            </w: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1,150,108</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1,908,350</w:t>
            </w:r>
          </w:p>
        </w:tc>
      </w:tr>
      <w:tr>
        <w:trPr>
          <w:trHeight w:val="284"/>
        </w:trPr>
        <w:tc>
          <w:tcPr>
            <w:tcW w:w="4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885,750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1,368,402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1,315,204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1,462,029</w:t>
            </w:r>
          </w:p>
        </w:tc>
      </w:tr>
      <w:tr>
        <w:trPr>
          <w:trHeight w:val="28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(882,462)</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(1,240,309)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(165,096)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446,322</w:t>
            </w:r>
          </w:p>
        </w:tc>
      </w:tr>
      <w:tr>
        <w:trPr>
          <w:trHeight w:val="269"/>
        </w:trPr>
        <w:tc>
          <w:tcPr>
            <w:tcW w:w="4360" w:type="dxa"/>
            <w:vAlign w:val="bottom"/>
          </w:tcPr>
          <w:p>
            <w:pPr>
              <w:spacing w:after="0"/>
              <w:rPr>
                <w:sz w:val="20"/>
                <w:szCs w:val="20"/>
                <w:color w:val="auto"/>
              </w:rPr>
            </w:pPr>
            <w:r>
              <w:rPr>
                <w:rFonts w:ascii="Arial" w:cs="Arial" w:eastAsia="Arial" w:hAnsi="Arial"/>
                <w:sz w:val="18"/>
                <w:szCs w:val="18"/>
                <w:color w:val="auto"/>
                <w:w w:val="98"/>
              </w:rPr>
              <w:t>Net change in unrealized appreciation (depreciation) on</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403,990</w:t>
            </w:r>
          </w:p>
        </w:tc>
      </w:tr>
      <w:tr>
        <w:trPr>
          <w:trHeight w:val="304"/>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2"/>
              </w:rPr>
              <w:t>Increase (decrease) in net assets resulting from operations</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(882,298)</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(1,238,576)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(165,733)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850,312</w:t>
            </w:r>
          </w:p>
        </w:tc>
      </w:tr>
      <w:tr>
        <w:trPr>
          <w:trHeight w:val="269"/>
        </w:trPr>
        <w:tc>
          <w:tcPr>
            <w:tcW w:w="4360" w:type="dxa"/>
            <w:vAlign w:val="bottom"/>
          </w:tcPr>
          <w:p>
            <w:pPr>
              <w:spacing w:after="0"/>
              <w:rPr>
                <w:sz w:val="20"/>
                <w:szCs w:val="20"/>
                <w:color w:val="auto"/>
              </w:rPr>
            </w:pPr>
            <w:r>
              <w:rPr>
                <w:rFonts w:ascii="Arial" w:cs="Arial" w:eastAsia="Arial" w:hAnsi="Arial"/>
                <w:sz w:val="18"/>
                <w:szCs w:val="18"/>
                <w:color w:val="auto"/>
                <w:w w:val="92"/>
              </w:rPr>
              <w:t>Increase (decrease) in net assets resulting from operations</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9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 as of the end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-1567815</wp:posOffset>
            </wp:positionV>
            <wp:extent cx="1028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-1567815</wp:posOffset>
            </wp:positionV>
            <wp:extent cx="1028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-1567815</wp:posOffset>
            </wp:positionV>
            <wp:extent cx="334327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 Subsequent Events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Subsequent to December 31, 2019, through March 19, 2020, we funded the following transactions:</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Cost Allocated</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1"/>
              </w:rPr>
              <w:t>Cost Allocated</w:t>
            </w:r>
          </w:p>
        </w:tc>
      </w:tr>
      <w:tr>
        <w:trPr>
          <w:trHeight w:val="186"/>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Investment Name</w:t>
            </w:r>
          </w:p>
        </w:tc>
        <w:tc>
          <w:tcPr>
            <w:tcW w:w="1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 Loan</w:t>
            </w: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 Warrant</w:t>
            </w:r>
          </w:p>
        </w:tc>
      </w:tr>
      <w:tr>
        <w:trPr>
          <w:trHeight w:val="26"/>
        </w:trPr>
        <w:tc>
          <w:tcPr>
            <w:tcW w:w="3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7, 2020</w:t>
            </w: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 Sesame,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43,637,431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43,212,631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424,800</w:t>
            </w:r>
          </w:p>
        </w:tc>
      </w:tr>
      <w:tr>
        <w:trPr>
          <w:trHeight w:val="257"/>
        </w:trPr>
        <w:tc>
          <w:tcPr>
            <w:tcW w:w="3360" w:type="dxa"/>
            <w:vAlign w:val="bottom"/>
            <w:gridSpan w:val="2"/>
          </w:tcPr>
          <w:p>
            <w:pPr>
              <w:spacing w:after="0"/>
              <w:rPr>
                <w:sz w:val="20"/>
                <w:szCs w:val="20"/>
                <w:color w:val="auto"/>
              </w:rPr>
            </w:pPr>
            <w:r>
              <w:rPr>
                <w:rFonts w:ascii="Arial" w:cs="Arial" w:eastAsia="Arial" w:hAnsi="Arial"/>
                <w:sz w:val="18"/>
                <w:szCs w:val="18"/>
                <w:color w:val="auto"/>
              </w:rPr>
              <w:t>January 30, 2020</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Aginity,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350,000</w:t>
            </w:r>
          </w:p>
        </w:tc>
        <w:tc>
          <w:tcPr>
            <w:tcW w:w="2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350,000</w:t>
            </w:r>
          </w:p>
        </w:tc>
        <w:tc>
          <w:tcPr>
            <w:tcW w:w="200" w:type="dxa"/>
            <w:vAlign w:val="bottom"/>
          </w:tcPr>
          <w:p>
            <w:pPr>
              <w:spacing w:after="0"/>
              <w:rPr>
                <w:sz w:val="22"/>
                <w:szCs w:val="22"/>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9, 2020</w:t>
            </w:r>
          </w:p>
        </w:tc>
        <w:tc>
          <w:tcPr>
            <w:tcW w:w="1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Aginity,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6"/>
        </w:trPr>
        <w:tc>
          <w:tcPr>
            <w:tcW w:w="3360" w:type="dxa"/>
            <w:vAlign w:val="bottom"/>
            <w:gridSpan w:val="2"/>
          </w:tcPr>
          <w:p>
            <w:pPr>
              <w:spacing w:after="0"/>
              <w:rPr>
                <w:sz w:val="20"/>
                <w:szCs w:val="20"/>
                <w:color w:val="auto"/>
              </w:rPr>
            </w:pPr>
            <w:r>
              <w:rPr>
                <w:rFonts w:ascii="Arial" w:cs="Arial" w:eastAsia="Arial" w:hAnsi="Arial"/>
                <w:sz w:val="18"/>
                <w:szCs w:val="18"/>
                <w:color w:val="auto"/>
              </w:rPr>
              <w:t>March 10, 2020</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Aginity,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421,861</w:t>
            </w:r>
          </w:p>
        </w:tc>
        <w:tc>
          <w:tcPr>
            <w:tcW w:w="2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421,861</w:t>
            </w:r>
          </w:p>
        </w:tc>
        <w:tc>
          <w:tcPr>
            <w:tcW w:w="200" w:type="dxa"/>
            <w:vAlign w:val="bottom"/>
          </w:tcPr>
          <w:p>
            <w:pPr>
              <w:spacing w:after="0"/>
              <w:rPr>
                <w:sz w:val="22"/>
                <w:szCs w:val="22"/>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Longtail Ad</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6"/>
        </w:trPr>
        <w:tc>
          <w:tcPr>
            <w:tcW w:w="3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Solutions, Inc.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16, 2020</w:t>
            </w:r>
          </w:p>
        </w:tc>
        <w:tc>
          <w:tcPr>
            <w:tcW w:w="1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(dba JW Player)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5,000,000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5,000,000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-1104900</wp:posOffset>
            </wp:positionV>
            <wp:extent cx="1371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-1104900</wp:posOffset>
            </wp:positionV>
            <wp:extent cx="1371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-1104900</wp:posOffset>
            </wp:positionV>
            <wp:extent cx="1371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-1104900</wp:posOffset>
            </wp:positionV>
            <wp:extent cx="1371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jc w:val="both"/>
        <w:ind w:left="1260" w:right="679" w:firstLine="360"/>
        <w:spacing w:after="0" w:line="255" w:lineRule="auto"/>
        <w:rPr>
          <w:sz w:val="20"/>
          <w:szCs w:val="20"/>
          <w:color w:val="auto"/>
        </w:rPr>
      </w:pPr>
      <w:r>
        <w:rPr>
          <w:rFonts w:ascii="Arial" w:cs="Arial" w:eastAsia="Arial" w:hAnsi="Arial"/>
          <w:sz w:val="18"/>
          <w:szCs w:val="18"/>
          <w:color w:val="auto"/>
        </w:rPr>
        <w:t>On January 8, 2020, in connection with CareCloud’s sale to MTBC, Inc., the Company extinguished $25.0 million in outstanding principal balance and terminated the associated warrants. The Company, in return, received consideration in the amount of approximately $23.3 million from MTBC, Inc. The consideration consisted of the following: warrants to purchase 1,000,000 shares of Common Stock at $7.50 per share; warrants to purchase 1,000,000 shares of Common Stock at $10.00 per share; and, 760,000 shares of 11% Series A Preferred Stock.</w:t>
      </w:r>
    </w:p>
    <w:p>
      <w:pPr>
        <w:spacing w:after="0" w:line="125" w:lineRule="exact"/>
        <w:rPr>
          <w:sz w:val="20"/>
          <w:szCs w:val="20"/>
          <w:color w:val="auto"/>
        </w:rPr>
      </w:pPr>
    </w:p>
    <w:p>
      <w:pPr>
        <w:jc w:val="both"/>
        <w:ind w:left="1260" w:right="659" w:firstLine="360"/>
        <w:spacing w:after="0" w:line="259" w:lineRule="auto"/>
        <w:rPr>
          <w:sz w:val="20"/>
          <w:szCs w:val="20"/>
          <w:color w:val="auto"/>
        </w:rPr>
      </w:pPr>
      <w:r>
        <w:rPr>
          <w:rFonts w:ascii="Arial" w:cs="Arial" w:eastAsia="Arial" w:hAnsi="Arial"/>
          <w:sz w:val="18"/>
          <w:szCs w:val="18"/>
          <w:color w:val="auto"/>
        </w:rPr>
        <w:t>On January 9, 2020, in conjunction with its sale to Inphi Corporation and concurrently Synopays, Inc., eSilicon Corporation prepaid its outstanding principal balance of $26,625,000 on the senior secured loan. In addition, the Company received cash proceeds of $2,749,949 in conjunction with the termination of its warrants in eSilicon Corporation for total proceeds of $30,853,855.</w:t>
      </w:r>
    </w:p>
    <w:p>
      <w:pPr>
        <w:spacing w:after="0" w:line="119" w:lineRule="exact"/>
        <w:rPr>
          <w:sz w:val="20"/>
          <w:szCs w:val="20"/>
          <w:color w:val="auto"/>
        </w:rPr>
      </w:pPr>
    </w:p>
    <w:p>
      <w:pPr>
        <w:jc w:val="both"/>
        <w:ind w:left="1260" w:right="679" w:firstLine="360"/>
        <w:spacing w:after="0" w:line="277" w:lineRule="auto"/>
        <w:rPr>
          <w:sz w:val="20"/>
          <w:szCs w:val="20"/>
          <w:color w:val="auto"/>
        </w:rPr>
      </w:pPr>
      <w:r>
        <w:rPr>
          <w:rFonts w:ascii="Arial" w:cs="Arial" w:eastAsia="Arial" w:hAnsi="Arial"/>
          <w:sz w:val="18"/>
          <w:szCs w:val="18"/>
          <w:color w:val="auto"/>
        </w:rPr>
        <w:t>On January 30, 2020, MingleHealth Care Solutions, Inc. prepaid $1,583,333 on its outstanding principal balance.</w:t>
      </w:r>
    </w:p>
    <w:p>
      <w:pPr>
        <w:spacing w:after="0" w:line="89"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On March 2, 2020, RealWear, Inc. prepaid $21,993,938 on its outstanding principal balance. In addition, the Company received cash proceeds of $1,544,606 in conjunction with ETP and interest for total proceeds of $23,538,544.</w:t>
      </w:r>
    </w:p>
    <w:p>
      <w:pPr>
        <w:spacing w:after="0" w:line="116" w:lineRule="exact"/>
        <w:rPr>
          <w:sz w:val="20"/>
          <w:szCs w:val="20"/>
          <w:color w:val="auto"/>
        </w:rPr>
      </w:pPr>
    </w:p>
    <w:p>
      <w:pPr>
        <w:jc w:val="both"/>
        <w:ind w:left="1260" w:right="679" w:firstLine="360"/>
        <w:spacing w:after="0" w:line="277" w:lineRule="auto"/>
        <w:rPr>
          <w:sz w:val="20"/>
          <w:szCs w:val="20"/>
          <w:color w:val="auto"/>
        </w:rPr>
      </w:pPr>
      <w:r>
        <w:rPr>
          <w:rFonts w:ascii="Arial" w:cs="Arial" w:eastAsia="Arial" w:hAnsi="Arial"/>
          <w:sz w:val="18"/>
          <w:szCs w:val="18"/>
          <w:color w:val="auto"/>
        </w:rPr>
        <w:t>On March 5, 2020, the Board of Directors declared a dividend in the amount of $0.40 per share payable on March 20, 2020 to stockholders of record as of March 6, 2020.</w:t>
      </w:r>
    </w:p>
    <w:p>
      <w:pPr>
        <w:spacing w:after="0" w:line="103"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7"/>
          <w:szCs w:val="17"/>
          <w:color w:val="auto"/>
        </w:rPr>
        <w:t>On March 10, 2020, Aginity Inc. was sold for net proceeds to the Company of $4,000,000 in the form of a senior secured note of the purchaser and a warrant to purchase 81,177 shares of the purchaser’s common stock for a nominal aggregate exercise price, resulting in a realized loss of approximately $6,525,000.</w:t>
      </w:r>
    </w:p>
    <w:p>
      <w:pPr>
        <w:sectPr>
          <w:pgSz w:w="11900" w:h="16838" w:orient="portrait"/>
          <w:cols w:equalWidth="0" w:num="1">
            <w:col w:w="10139"/>
          </w:cols>
          <w:pgMar w:left="320" w:top="131"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680656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7" w:name="page118"/>
    <w:bookmarkEnd w:id="117"/>
    <w:p>
      <w:pPr>
        <w:spacing w:after="0"/>
        <w:rPr>
          <w:rFonts w:ascii="Arial" w:cs="Arial" w:eastAsia="Arial" w:hAnsi="Arial"/>
          <w:sz w:val="14"/>
          <w:szCs w:val="14"/>
          <w:color w:val="003366"/>
        </w:rPr>
      </w:pPr>
      <w:hyperlink w:anchor="page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RUNWAY GROWTH CREDIT FUND INC.</w:t>
      </w:r>
    </w:p>
    <w:p>
      <w:pPr>
        <w:spacing w:after="0" w:line="11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Notes to Financial Statements as of December 31, 2019</w:t>
      </w:r>
    </w:p>
    <w:p>
      <w:pPr>
        <w:spacing w:after="0" w:line="229"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On March 16, 2020, RealWear, Inc. prepaid the remainder of $2,691,862 on its outstanding principal balance. In addition, the Company received cash proceeds of $145,428 in conjunction with ETP and interest for total proceeds of $2,837,290.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6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58" w:lineRule="exact"/>
        <w:rPr>
          <w:sz w:val="20"/>
          <w:szCs w:val="20"/>
          <w:color w:val="auto"/>
        </w:rPr>
      </w:pPr>
    </w:p>
    <w:p>
      <w:pPr>
        <w:jc w:val="both"/>
        <w:ind w:left="1260" w:right="679" w:firstLine="360"/>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of the Exchange Act). The Company’s internal control over financial reporting is a process designed under the supervision of its Chief Executive Officer (Principal Executive Officer) and Chief Financial Officer and Treasurer (Principal Financial Officer) and effected by the Company’s Board of Directors, management and other personnel, to provide reasonable assurance regarding the reliability of financial reporting and the preparation of its financial statements for external reporting purposes in accordance with U.S. GAAP.</w:t>
      </w:r>
    </w:p>
    <w:p>
      <w:pPr>
        <w:spacing w:after="0" w:line="114" w:lineRule="exact"/>
        <w:rPr>
          <w:sz w:val="20"/>
          <w:szCs w:val="20"/>
          <w:color w:val="auto"/>
        </w:rPr>
      </w:pPr>
    </w:p>
    <w:p>
      <w:pPr>
        <w:jc w:val="both"/>
        <w:ind w:left="1260" w:right="679" w:firstLine="360"/>
        <w:spacing w:after="0" w:line="291"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and dispositions of the Company’s assets; provide reasonable assurance that transactions are recorded as necessary to permit preparation of financial statements in accordance with U.S. GAAP, and that receipts and expenditures of the Company are being made only in accordance with authorizations of management and the directors; and provide reasonable assurance regarding prevention or timely detection of unauthorized acquisition, use or disposition of the Company’s assets that could have a material effect on its financial statements.</w:t>
      </w:r>
    </w:p>
    <w:p>
      <w:pPr>
        <w:spacing w:after="0" w:line="99"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9" w:lineRule="exact"/>
        <w:rPr>
          <w:sz w:val="20"/>
          <w:szCs w:val="20"/>
          <w:color w:val="auto"/>
        </w:rPr>
      </w:pPr>
    </w:p>
    <w:p>
      <w:pPr>
        <w:jc w:val="both"/>
        <w:ind w:left="1260" w:right="679" w:firstLine="360"/>
        <w:spacing w:after="0" w:line="257" w:lineRule="auto"/>
        <w:rPr>
          <w:sz w:val="20"/>
          <w:szCs w:val="20"/>
          <w:color w:val="auto"/>
        </w:rPr>
      </w:pPr>
      <w:r>
        <w:rPr>
          <w:rFonts w:ascii="Arial" w:cs="Arial" w:eastAsia="Arial" w:hAnsi="Arial"/>
          <w:sz w:val="18"/>
          <w:szCs w:val="18"/>
          <w:color w:val="auto"/>
        </w:rPr>
        <w:t xml:space="preserve">Management conducted an evaluation of the effectiveness of the Company’s internal control over financial reporting as of December 31, 2019 based on the framework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this assessment, management concluded that the Company’s internal control over financial reporting as of December 31, 2019 was effective.</w:t>
      </w:r>
    </w:p>
    <w:p>
      <w:pPr>
        <w:spacing w:after="0" w:line="107" w:lineRule="exact"/>
        <w:rPr>
          <w:sz w:val="20"/>
          <w:szCs w:val="20"/>
          <w:color w:val="auto"/>
        </w:rPr>
      </w:pPr>
    </w:p>
    <w:p>
      <w:pPr>
        <w:jc w:val="both"/>
        <w:ind w:left="1260" w:right="679" w:firstLine="360"/>
        <w:spacing w:after="0" w:line="277"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due to an exemption for emerging growth companies under the JOBS Act.</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8"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9B.  Other Information</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8"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2020 Proxy Statement. The 2020 Proxy Statement will be filed with the SEC within 120 days after the end of the fiscal period covered by this Form 10-K pursuant to Regulation 14A under the Exchange Act.</w:t>
      </w:r>
    </w:p>
    <w:p>
      <w:pPr>
        <w:spacing w:after="0" w:line="116" w:lineRule="exact"/>
        <w:rPr>
          <w:sz w:val="20"/>
          <w:szCs w:val="20"/>
          <w:color w:val="auto"/>
        </w:rPr>
      </w:pPr>
    </w:p>
    <w:p>
      <w:pPr>
        <w:jc w:val="both"/>
        <w:ind w:left="1260" w:right="679" w:firstLine="360"/>
        <w:spacing w:after="0" w:line="291" w:lineRule="auto"/>
        <w:rPr>
          <w:sz w:val="20"/>
          <w:szCs w:val="20"/>
          <w:color w:val="auto"/>
        </w:rPr>
      </w:pPr>
      <w:r>
        <w:rPr>
          <w:rFonts w:ascii="Arial" w:cs="Arial" w:eastAsia="Arial" w:hAnsi="Arial"/>
          <w:sz w:val="16"/>
          <w:szCs w:val="16"/>
          <w:color w:val="auto"/>
        </w:rPr>
        <w:t>We have adopted a Code of Business Conduct and Ethics for our employees and directors, including, specifically, our Chief Executive Officer, our Chief Financial Officer, and our other executive officers. Our Code of Business Conduct and Ethics satisfies the requirements for a “code of ethics” within the meaning of SEC rules. A copy of the Code of Business Conduct and Ethics is posted on our website at https:// runwaygrowth.com/wp-content/uploads/2017/03/GSV-GC-Fund-SOX-Code-of-Ethics.pdf. We intend to disclose any changes in, or waivers from, the Code of Business Conduct and Ethics by posting such information on the same website or by filing a Form 8-K, in each case to the extent such disclosure is required by rules of the SEC or NASDAQ.</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11.  Executive Compensation</w:t>
      </w:r>
    </w:p>
    <w:p>
      <w:pPr>
        <w:spacing w:after="0" w:line="162"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2020 Proxy Statement. The 2020 Proxy Statement will be filed with the SEC within 120 days after the end of the fiscal period covered by this Form 10-K pursuant to Regulation 14A under the Exchange Act.</w:t>
      </w:r>
    </w:p>
    <w:p>
      <w:pPr>
        <w:spacing w:after="0" w:line="180" w:lineRule="exact"/>
        <w:rPr>
          <w:sz w:val="20"/>
          <w:szCs w:val="20"/>
          <w:color w:val="auto"/>
        </w:rPr>
      </w:pPr>
    </w:p>
    <w:p>
      <w:pPr>
        <w:ind w:left="2080" w:right="919" w:hanging="809"/>
        <w:spacing w:after="0" w:line="282" w:lineRule="auto"/>
        <w:tabs>
          <w:tab w:leader="none" w:pos="20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85"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2020 Proxy Statement. The 2020 Proxy Statement will be filed with the SEC within 120 days after the end of the fiscal period covered by this Form 10-K pursuant to Regulation 14A under the Exchange Act.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2020 Proxy Statement. The 2020 Proxy Statement will be filed with the SEC within 120 days after the end of the fiscal period covered by this Form 10-K pursuant to Regulation 14A under the Exchange Act.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62"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2020 Proxy Statement. The 2020 Proxy Statement will be filed with the SEC within 120 days after the end of the fiscal period covered by this Form 10-K pursuant to Regulation 14A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following documents are filed or incorporated by reference as part of this annual report on Form 10-K:</w:t>
      </w:r>
    </w:p>
    <w:p>
      <w:pPr>
        <w:spacing w:after="0" w:line="177" w:lineRule="exact"/>
        <w:rPr>
          <w:sz w:val="20"/>
          <w:szCs w:val="20"/>
          <w:color w:val="auto"/>
        </w:rPr>
      </w:pPr>
    </w:p>
    <w:p>
      <w:pPr>
        <w:ind w:left="1620" w:hanging="358"/>
        <w:spacing w:after="0"/>
        <w:tabs>
          <w:tab w:leader="none" w:pos="16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61" w:lineRule="exact"/>
        <w:rPr>
          <w:rFonts w:ascii="Arial" w:cs="Arial" w:eastAsia="Arial" w:hAnsi="Arial"/>
          <w:sz w:val="18"/>
          <w:szCs w:val="18"/>
          <w:b w:val="1"/>
          <w:bCs w:val="1"/>
          <w:color w:val="auto"/>
        </w:rPr>
      </w:pPr>
    </w:p>
    <w:p>
      <w:pPr>
        <w:ind w:left="1980" w:right="679" w:hanging="358"/>
        <w:spacing w:after="0" w:line="277" w:lineRule="auto"/>
        <w:tabs>
          <w:tab w:leader="none" w:pos="1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Financial Statements — Refer to Part II, Item 8 of this Form 10-K, which are incorporated herein by reference:</w:t>
      </w:r>
    </w:p>
    <w:p>
      <w:pPr>
        <w:spacing w:after="0" w:line="108"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39"/>
        </w:trPr>
        <w:tc>
          <w:tcPr>
            <w:tcW w:w="18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20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r>
      <w:tr>
        <w:trPr>
          <w:trHeight w:val="223"/>
        </w:trPr>
        <w:tc>
          <w:tcPr>
            <w:tcW w:w="4220" w:type="dxa"/>
            <w:vAlign w:val="bottom"/>
            <w:gridSpan w:val="4"/>
            <w:shd w:val="clear" w:color="auto" w:fill="CCEEFF"/>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Report of Independent Registered Public Accounting Firm</w:t>
              </w:r>
            </w:hyperlink>
          </w:p>
        </w:tc>
        <w:tc>
          <w:tcPr>
            <w:tcW w:w="2580" w:type="dxa"/>
            <w:vAlign w:val="bottom"/>
            <w:gridSpan w:val="6"/>
            <w:shd w:val="clear" w:color="auto" w:fill="CCEEFF"/>
          </w:tcPr>
          <w:p>
            <w:pPr>
              <w:spacing w:after="0"/>
              <w:rPr>
                <w:sz w:val="19"/>
                <w:szCs w:val="19"/>
                <w:color w:val="auto"/>
              </w:rPr>
            </w:pPr>
          </w:p>
        </w:tc>
        <w:tc>
          <w:tcPr>
            <w:tcW w:w="680" w:type="dxa"/>
            <w:vAlign w:val="bottom"/>
            <w:gridSpan w:val="3"/>
            <w:shd w:val="clear" w:color="auto" w:fill="CCEEFF"/>
          </w:tcPr>
          <w:p>
            <w:pPr>
              <w:jc w:val="cente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74</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6800" w:type="dxa"/>
            <w:vAlign w:val="bottom"/>
            <w:gridSpan w:val="10"/>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Statements of Assets and Liabilities as of December 31, 2019 and 2018</w:t>
              </w:r>
            </w:hyperlink>
          </w:p>
        </w:tc>
        <w:tc>
          <w:tcPr>
            <w:tcW w:w="680" w:type="dxa"/>
            <w:vAlign w:val="bottom"/>
            <w:gridSpan w:val="3"/>
          </w:tcPr>
          <w:p>
            <w:pPr>
              <w:jc w:val="cente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75</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3"/>
        </w:trPr>
        <w:tc>
          <w:tcPr>
            <w:tcW w:w="5860" w:type="dxa"/>
            <w:vAlign w:val="bottom"/>
            <w:gridSpan w:val="7"/>
            <w:shd w:val="clear" w:color="auto" w:fill="CCEEFF"/>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Statements of Operations for the years ended December 31, 2019, 2018 and 2017</w:t>
              </w:r>
            </w:hyperlink>
          </w:p>
        </w:tc>
        <w:tc>
          <w:tcPr>
            <w:tcW w:w="940" w:type="dxa"/>
            <w:vAlign w:val="bottom"/>
            <w:gridSpan w:val="3"/>
            <w:shd w:val="clear" w:color="auto" w:fill="CCEEFF"/>
          </w:tcPr>
          <w:p>
            <w:pPr>
              <w:spacing w:after="0"/>
              <w:rPr>
                <w:sz w:val="21"/>
                <w:szCs w:val="21"/>
                <w:color w:val="auto"/>
              </w:rPr>
            </w:pPr>
          </w:p>
        </w:tc>
        <w:tc>
          <w:tcPr>
            <w:tcW w:w="680" w:type="dxa"/>
            <w:vAlign w:val="bottom"/>
            <w:gridSpan w:val="3"/>
            <w:shd w:val="clear" w:color="auto" w:fill="CCEEFF"/>
          </w:tcPr>
          <w:p>
            <w:pPr>
              <w:jc w:val="cente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76</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6800" w:type="dxa"/>
            <w:vAlign w:val="bottom"/>
            <w:gridSpan w:val="10"/>
          </w:tcPr>
          <w:p>
            <w:pPr>
              <w:spacing w:after="0"/>
              <w:rPr>
                <w:rFonts w:ascii="Arial" w:cs="Arial" w:eastAsia="Arial" w:hAnsi="Arial"/>
                <w:sz w:val="18"/>
                <w:szCs w:val="18"/>
                <w:color w:val="0000EE"/>
                <w:w w:val="95"/>
              </w:rPr>
            </w:pPr>
            <w:hyperlink w:anchor="page78">
              <w:r>
                <w:rPr>
                  <w:rFonts w:ascii="Arial" w:cs="Arial" w:eastAsia="Arial" w:hAnsi="Arial"/>
                  <w:sz w:val="18"/>
                  <w:szCs w:val="18"/>
                  <w:color w:val="0000EE"/>
                  <w:w w:val="95"/>
                </w:rPr>
                <w:t>Statements of Changes in Net Assets for the years ended December 31, 2019, 2018 and</w:t>
              </w:r>
            </w:hyperlink>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2160" w:type="dxa"/>
            <w:vAlign w:val="bottom"/>
            <w:tcBorders>
              <w:top w:val="single" w:sz="8" w:color="0000EE"/>
            </w:tcBorders>
            <w:gridSpan w:val="3"/>
          </w:tcPr>
          <w:p>
            <w:pPr>
              <w:ind w:left="180"/>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2017</w:t>
              </w:r>
            </w:hyperlink>
          </w:p>
        </w:tc>
        <w:tc>
          <w:tcPr>
            <w:tcW w:w="20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gridSpan w:val="3"/>
          </w:tcPr>
          <w:p>
            <w:pPr>
              <w:jc w:val="cente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77</w:t>
              </w:r>
            </w:hyperlink>
          </w:p>
        </w:tc>
      </w:tr>
      <w:tr>
        <w:trPr>
          <w:trHeight w:val="34"/>
        </w:trPr>
        <w:tc>
          <w:tcPr>
            <w:tcW w:w="1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r>
      <w:tr>
        <w:trPr>
          <w:trHeight w:val="243"/>
        </w:trPr>
        <w:tc>
          <w:tcPr>
            <w:tcW w:w="5920" w:type="dxa"/>
            <w:vAlign w:val="bottom"/>
            <w:gridSpan w:val="8"/>
            <w:shd w:val="clear" w:color="auto" w:fill="CCEEFF"/>
          </w:tcPr>
          <w:p>
            <w:pPr>
              <w:spacing w:after="0"/>
              <w:rPr>
                <w:rFonts w:ascii="Arial" w:cs="Arial" w:eastAsia="Arial" w:hAnsi="Arial"/>
                <w:sz w:val="18"/>
                <w:szCs w:val="18"/>
                <w:color w:val="0000EE"/>
                <w:w w:val="88"/>
              </w:rPr>
            </w:pPr>
            <w:hyperlink w:anchor="page79">
              <w:r>
                <w:rPr>
                  <w:rFonts w:ascii="Arial" w:cs="Arial" w:eastAsia="Arial" w:hAnsi="Arial"/>
                  <w:sz w:val="18"/>
                  <w:szCs w:val="18"/>
                  <w:color w:val="0000EE"/>
                  <w:w w:val="88"/>
                </w:rPr>
                <w:t>Statements of Cash Flows for the years ended December 31, 2019, 2018 and 2017</w:t>
              </w:r>
            </w:hyperlink>
          </w:p>
        </w:tc>
        <w:tc>
          <w:tcPr>
            <w:tcW w:w="880" w:type="dxa"/>
            <w:vAlign w:val="bottom"/>
            <w:gridSpan w:val="2"/>
            <w:shd w:val="clear" w:color="auto" w:fill="CCEEFF"/>
          </w:tcPr>
          <w:p>
            <w:pPr>
              <w:spacing w:after="0"/>
              <w:rPr>
                <w:sz w:val="21"/>
                <w:szCs w:val="21"/>
                <w:color w:val="auto"/>
              </w:rPr>
            </w:pPr>
          </w:p>
        </w:tc>
        <w:tc>
          <w:tcPr>
            <w:tcW w:w="680" w:type="dxa"/>
            <w:vAlign w:val="bottom"/>
            <w:gridSpan w:val="3"/>
            <w:shd w:val="clear" w:color="auto" w:fill="CCEEFF"/>
          </w:tcPr>
          <w:p>
            <w:pPr>
              <w:jc w:val="cente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78</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5920" w:type="dxa"/>
            <w:vAlign w:val="bottom"/>
            <w:gridSpan w:val="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Schedules of Investments as of December 31, 2019 and 2018</w:t>
              </w:r>
            </w:hyperlink>
          </w:p>
        </w:tc>
        <w:tc>
          <w:tcPr>
            <w:tcW w:w="880" w:type="dxa"/>
            <w:vAlign w:val="bottom"/>
            <w:gridSpan w:val="2"/>
          </w:tcPr>
          <w:p>
            <w:pPr>
              <w:spacing w:after="0"/>
              <w:rPr>
                <w:sz w:val="21"/>
                <w:szCs w:val="21"/>
                <w:color w:val="auto"/>
              </w:rPr>
            </w:pPr>
          </w:p>
        </w:tc>
        <w:tc>
          <w:tcPr>
            <w:tcW w:w="680" w:type="dxa"/>
            <w:vAlign w:val="bottom"/>
            <w:gridSpan w:val="3"/>
          </w:tcPr>
          <w:p>
            <w:pPr>
              <w:jc w:val="cente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79</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3"/>
        </w:trPr>
        <w:tc>
          <w:tcPr>
            <w:tcW w:w="6800" w:type="dxa"/>
            <w:vAlign w:val="bottom"/>
            <w:gridSpan w:val="10"/>
            <w:shd w:val="clear" w:color="auto" w:fill="CCEEFF"/>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Notes to Financial Statements</w:t>
              </w:r>
            </w:hyperlink>
          </w:p>
        </w:tc>
        <w:tc>
          <w:tcPr>
            <w:tcW w:w="680" w:type="dxa"/>
            <w:vAlign w:val="bottom"/>
            <w:gridSpan w:val="3"/>
            <w:shd w:val="clear" w:color="auto" w:fill="CCEEFF"/>
          </w:tcPr>
          <w:p>
            <w:pPr>
              <w:jc w:val="cente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90</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-1388110</wp:posOffset>
            </wp:positionV>
            <wp:extent cx="432054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320540" cy="8890"/>
                    </a:xfrm>
                    <a:prstGeom prst="rect">
                      <a:avLst/>
                    </a:prstGeom>
                    <a:noFill/>
                  </pic:spPr>
                </pic:pic>
              </a:graphicData>
            </a:graphic>
          </wp:anchor>
        </w:drawing>
      </w:r>
    </w:p>
    <w:p>
      <w:pPr>
        <w:spacing w:after="0" w:line="74" w:lineRule="exact"/>
        <w:rPr>
          <w:sz w:val="20"/>
          <w:szCs w:val="20"/>
          <w:color w:val="auto"/>
        </w:rPr>
      </w:pPr>
    </w:p>
    <w:p>
      <w:pPr>
        <w:jc w:val="both"/>
        <w:ind w:left="1980" w:right="679" w:hanging="358"/>
        <w:spacing w:after="0" w:line="263" w:lineRule="auto"/>
        <w:tabs>
          <w:tab w:leader="none" w:pos="1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Financial Statement Schedules — None. We have omitted financial statement schedules because they are not required or are not applicable, or the required information is shown in the financial statements or notes to the financial statements.</w:t>
      </w:r>
    </w:p>
    <w:p>
      <w:pPr>
        <w:spacing w:after="0" w:line="116" w:lineRule="exact"/>
        <w:rPr>
          <w:rFonts w:ascii="Arial" w:cs="Arial" w:eastAsia="Arial" w:hAnsi="Arial"/>
          <w:sz w:val="18"/>
          <w:szCs w:val="18"/>
          <w:color w:val="auto"/>
        </w:rPr>
      </w:pPr>
    </w:p>
    <w:p>
      <w:pPr>
        <w:ind w:left="1980" w:hanging="358"/>
        <w:spacing w:after="0"/>
        <w:tabs>
          <w:tab w:leader="none" w:pos="1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Exhibits</w:t>
      </w:r>
    </w:p>
    <w:p>
      <w:pPr>
        <w:spacing w:after="0" w:line="144"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93" w:lineRule="exact"/>
        <w:rPr>
          <w:sz w:val="20"/>
          <w:szCs w:val="20"/>
          <w:color w:val="auto"/>
        </w:rPr>
      </w:pPr>
    </w:p>
    <w:p>
      <w:pPr>
        <w:ind w:left="1500"/>
        <w:spacing w:after="0"/>
        <w:tabs>
          <w:tab w:leader="none" w:pos="2140" w:val="left"/>
        </w:tabs>
        <w:rPr>
          <w:rFonts w:ascii="Arial" w:cs="Arial" w:eastAsia="Arial" w:hAnsi="Arial"/>
          <w:sz w:val="16"/>
          <w:szCs w:val="16"/>
          <w:u w:val="single" w:color="auto"/>
          <w:color w:val="0000EE"/>
        </w:rPr>
      </w:pPr>
      <w:hyperlink r:id="rId380">
        <w:r>
          <w:rPr>
            <w:rFonts w:ascii="Arial" w:cs="Arial" w:eastAsia="Arial" w:hAnsi="Arial"/>
            <w:sz w:val="18"/>
            <w:szCs w:val="18"/>
            <w:color w:val="0000EE"/>
          </w:rPr>
          <w:t>3.1</w:t>
        </w:r>
      </w:hyperlink>
      <w:r>
        <w:rPr>
          <w:rFonts w:ascii="Arial" w:cs="Arial" w:eastAsia="Arial" w:hAnsi="Arial"/>
          <w:sz w:val="18"/>
          <w:szCs w:val="18"/>
          <w:color w:val="0000EE"/>
        </w:rPr>
        <w:tab/>
      </w:r>
      <w:hyperlink r:id="rId380">
        <w:r>
          <w:rPr>
            <w:rFonts w:ascii="Arial" w:cs="Arial" w:eastAsia="Arial" w:hAnsi="Arial"/>
            <w:sz w:val="16"/>
            <w:szCs w:val="16"/>
            <w:u w:val="single" w:color="auto"/>
            <w:color w:val="0000EE"/>
          </w:rPr>
          <w:t>Articles of Amendment and Restatement</w:t>
        </w:r>
        <w:r>
          <w:rPr>
            <w:rFonts w:ascii="Arial" w:cs="Arial" w:eastAsia="Arial" w:hAnsi="Arial"/>
            <w:sz w:val="23"/>
            <w:szCs w:val="23"/>
            <w:u w:val="single" w:color="auto"/>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-23495</wp:posOffset>
            </wp:positionV>
            <wp:extent cx="1657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165735" cy="8890"/>
                    </a:xfrm>
                    <a:prstGeom prst="rect">
                      <a:avLst/>
                    </a:prstGeom>
                    <a:noFill/>
                  </pic:spPr>
                </pic:pic>
              </a:graphicData>
            </a:graphic>
          </wp:anchor>
        </w:drawing>
      </w:r>
    </w:p>
    <w:p>
      <w:pPr>
        <w:ind w:left="1500"/>
        <w:spacing w:after="0"/>
        <w:tabs>
          <w:tab w:leader="none" w:pos="2140" w:val="left"/>
        </w:tabs>
        <w:rPr>
          <w:rFonts w:ascii="Arial" w:cs="Arial" w:eastAsia="Arial" w:hAnsi="Arial"/>
          <w:sz w:val="16"/>
          <w:szCs w:val="16"/>
          <w:u w:val="single" w:color="auto"/>
          <w:color w:val="0000EE"/>
        </w:rPr>
      </w:pPr>
      <w:hyperlink r:id="rId382">
        <w:r>
          <w:rPr>
            <w:rFonts w:ascii="Arial" w:cs="Arial" w:eastAsia="Arial" w:hAnsi="Arial"/>
            <w:sz w:val="18"/>
            <w:szCs w:val="18"/>
            <w:color w:val="0000EE"/>
          </w:rPr>
          <w:t>3.2</w:t>
        </w:r>
      </w:hyperlink>
      <w:r>
        <w:rPr>
          <w:rFonts w:ascii="Arial" w:cs="Arial" w:eastAsia="Arial" w:hAnsi="Arial"/>
          <w:sz w:val="18"/>
          <w:szCs w:val="18"/>
          <w:color w:val="0000EE"/>
        </w:rPr>
        <w:tab/>
      </w:r>
      <w:hyperlink r:id="rId382">
        <w:r>
          <w:rPr>
            <w:rFonts w:ascii="Arial" w:cs="Arial" w:eastAsia="Arial" w:hAnsi="Arial"/>
            <w:sz w:val="16"/>
            <w:szCs w:val="16"/>
            <w:u w:val="single" w:color="auto"/>
            <w:color w:val="0000EE"/>
          </w:rPr>
          <w:t>Articles of Amendment</w:t>
        </w:r>
        <w:r>
          <w:rPr>
            <w:rFonts w:ascii="Arial" w:cs="Arial" w:eastAsia="Arial" w:hAnsi="Arial"/>
            <w:sz w:val="23"/>
            <w:szCs w:val="23"/>
            <w:u w:val="single" w:color="auto"/>
            <w:color w:val="0000EE"/>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-31115</wp:posOffset>
            </wp:positionV>
            <wp:extent cx="1657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165735" cy="8255"/>
                    </a:xfrm>
                    <a:prstGeom prst="rect">
                      <a:avLst/>
                    </a:prstGeom>
                    <a:noFill/>
                  </pic:spPr>
                </pic:pic>
              </a:graphicData>
            </a:graphic>
          </wp:anchor>
        </w:drawing>
      </w:r>
    </w:p>
    <w:p>
      <w:pPr>
        <w:ind w:left="1500"/>
        <w:spacing w:after="0"/>
        <w:tabs>
          <w:tab w:leader="none" w:pos="2140" w:val="left"/>
        </w:tabs>
        <w:rPr>
          <w:rFonts w:ascii="Arial" w:cs="Arial" w:eastAsia="Arial" w:hAnsi="Arial"/>
          <w:sz w:val="15"/>
          <w:szCs w:val="15"/>
          <w:u w:val="single" w:color="auto"/>
          <w:color w:val="0000EE"/>
        </w:rPr>
      </w:pPr>
      <w:hyperlink r:id="rId384">
        <w:r>
          <w:rPr>
            <w:rFonts w:ascii="Arial" w:cs="Arial" w:eastAsia="Arial" w:hAnsi="Arial"/>
            <w:sz w:val="18"/>
            <w:szCs w:val="18"/>
            <w:color w:val="0000EE"/>
          </w:rPr>
          <w:t>3.3</w:t>
        </w:r>
      </w:hyperlink>
      <w:r>
        <w:rPr>
          <w:rFonts w:ascii="Arial" w:cs="Arial" w:eastAsia="Arial" w:hAnsi="Arial"/>
          <w:sz w:val="18"/>
          <w:szCs w:val="18"/>
          <w:color w:val="0000EE"/>
        </w:rPr>
        <w:tab/>
      </w:r>
      <w:hyperlink r:id="rId384">
        <w:r>
          <w:rPr>
            <w:rFonts w:ascii="Arial" w:cs="Arial" w:eastAsia="Arial" w:hAnsi="Arial"/>
            <w:sz w:val="15"/>
            <w:szCs w:val="15"/>
            <w:u w:val="single" w:color="auto"/>
            <w:color w:val="0000EE"/>
          </w:rPr>
          <w:t>Amended and Restated Bylaws</w:t>
        </w:r>
        <w:r>
          <w:rPr>
            <w:rFonts w:ascii="Arial" w:cs="Arial" w:eastAsia="Arial" w:hAnsi="Arial"/>
            <w:sz w:val="21"/>
            <w:szCs w:val="21"/>
            <w:u w:val="single" w:color="auto"/>
            <w:color w:val="0000EE"/>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-16510</wp:posOffset>
            </wp:positionV>
            <wp:extent cx="1657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165735" cy="8255"/>
                    </a:xfrm>
                    <a:prstGeom prst="rect">
                      <a:avLst/>
                    </a:prstGeom>
                    <a:noFill/>
                  </pic:spPr>
                </pic:pic>
              </a:graphicData>
            </a:graphic>
          </wp:anchor>
        </w:drawing>
      </w:r>
    </w:p>
    <w:p>
      <w:pPr>
        <w:spacing w:after="0" w:line="9" w:lineRule="exact"/>
        <w:rPr>
          <w:sz w:val="20"/>
          <w:szCs w:val="20"/>
          <w:color w:val="auto"/>
        </w:rPr>
      </w:pPr>
    </w:p>
    <w:p>
      <w:pPr>
        <w:ind w:left="1500"/>
        <w:spacing w:after="0"/>
        <w:tabs>
          <w:tab w:leader="none" w:pos="2140" w:val="left"/>
        </w:tabs>
        <w:rPr>
          <w:rFonts w:ascii="Arial" w:cs="Arial" w:eastAsia="Arial" w:hAnsi="Arial"/>
          <w:sz w:val="16"/>
          <w:szCs w:val="16"/>
          <w:u w:val="single" w:color="auto"/>
          <w:color w:val="0000EE"/>
        </w:rPr>
      </w:pPr>
      <w:hyperlink r:id="rId386">
        <w:r>
          <w:rPr>
            <w:rFonts w:ascii="Arial" w:cs="Arial" w:eastAsia="Arial" w:hAnsi="Arial"/>
            <w:sz w:val="18"/>
            <w:szCs w:val="18"/>
            <w:color w:val="0000EE"/>
          </w:rPr>
          <w:t>4.1</w:t>
        </w:r>
      </w:hyperlink>
      <w:r>
        <w:rPr>
          <w:rFonts w:ascii="Arial" w:cs="Arial" w:eastAsia="Arial" w:hAnsi="Arial"/>
          <w:sz w:val="18"/>
          <w:szCs w:val="18"/>
          <w:color w:val="0000EE"/>
        </w:rPr>
        <w:tab/>
      </w:r>
      <w:hyperlink r:id="rId386">
        <w:r>
          <w:rPr>
            <w:rFonts w:ascii="Arial" w:cs="Arial" w:eastAsia="Arial" w:hAnsi="Arial"/>
            <w:sz w:val="16"/>
            <w:szCs w:val="16"/>
            <w:u w:val="single" w:color="auto"/>
            <w:color w:val="0000EE"/>
          </w:rPr>
          <w:t>Form of Subscription Agreement</w:t>
        </w:r>
        <w:r>
          <w:rPr>
            <w:rFonts w:ascii="Arial" w:cs="Arial" w:eastAsia="Arial" w:hAnsi="Arial"/>
            <w:sz w:val="23"/>
            <w:szCs w:val="23"/>
            <w:u w:val="single" w:color="auto"/>
            <w:color w:val="0000EE"/>
            <w:vertAlign w:val="superscript"/>
          </w:rPr>
          <w:t>(3)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-31115</wp:posOffset>
            </wp:positionV>
            <wp:extent cx="1657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165735" cy="8255"/>
                    </a:xfrm>
                    <a:prstGeom prst="rect">
                      <a:avLst/>
                    </a:prstGeom>
                    <a:noFill/>
                  </pic:spPr>
                </pic:pic>
              </a:graphicData>
            </a:graphic>
          </wp:anchor>
        </w:drawing>
      </w:r>
    </w:p>
    <w:p>
      <w:pPr>
        <w:spacing w:after="0" w:line="26" w:lineRule="exact"/>
        <w:rPr>
          <w:sz w:val="20"/>
          <w:szCs w:val="20"/>
          <w:color w:val="auto"/>
        </w:rPr>
      </w:pPr>
    </w:p>
    <w:p>
      <w:pPr>
        <w:ind w:left="1500"/>
        <w:spacing w:after="0"/>
        <w:tabs>
          <w:tab w:leader="none" w:pos="2140" w:val="left"/>
        </w:tabs>
        <w:rPr>
          <w:rFonts w:ascii="Arial" w:cs="Arial" w:eastAsia="Arial" w:hAnsi="Arial"/>
          <w:sz w:val="16"/>
          <w:szCs w:val="16"/>
          <w:u w:val="single" w:color="auto"/>
          <w:color w:val="0000EE"/>
        </w:rPr>
      </w:pPr>
      <w:hyperlink w:anchor="page124">
        <w:r>
          <w:rPr>
            <w:rFonts w:ascii="Arial" w:cs="Arial" w:eastAsia="Arial" w:hAnsi="Arial"/>
            <w:sz w:val="18"/>
            <w:szCs w:val="18"/>
            <w:color w:val="0000EE"/>
          </w:rPr>
          <w:t>4.2</w:t>
        </w:r>
      </w:hyperlink>
      <w:r>
        <w:rPr>
          <w:rFonts w:ascii="Arial" w:cs="Arial" w:eastAsia="Arial" w:hAnsi="Arial"/>
          <w:sz w:val="18"/>
          <w:szCs w:val="18"/>
          <w:color w:val="0000EE"/>
        </w:rPr>
        <w:tab/>
      </w:r>
      <w:hyperlink w:anchor="page124">
        <w:r>
          <w:rPr>
            <w:rFonts w:ascii="Arial" w:cs="Arial" w:eastAsia="Arial" w:hAnsi="Arial"/>
            <w:sz w:val="16"/>
            <w:szCs w:val="16"/>
            <w:u w:val="single" w:color="auto"/>
            <w:color w:val="0000EE"/>
          </w:rPr>
          <w:t>Description of Securities*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-20320</wp:posOffset>
            </wp:positionV>
            <wp:extent cx="1657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165735" cy="8255"/>
                    </a:xfrm>
                    <a:prstGeom prst="rect">
                      <a:avLst/>
                    </a:prstGeom>
                    <a:noFill/>
                  </pic:spPr>
                </pic:pic>
              </a:graphicData>
            </a:graphic>
          </wp:anchor>
        </w:drawing>
      </w:r>
    </w:p>
    <w:p>
      <w:pPr>
        <w:ind w:left="1500"/>
        <w:spacing w:after="0"/>
        <w:tabs>
          <w:tab w:leader="none" w:pos="2140" w:val="left"/>
        </w:tabs>
        <w:rPr>
          <w:rFonts w:ascii="Arial" w:cs="Arial" w:eastAsia="Arial" w:hAnsi="Arial"/>
          <w:sz w:val="16"/>
          <w:szCs w:val="16"/>
          <w:u w:val="single" w:color="auto"/>
          <w:color w:val="0000EE"/>
        </w:rPr>
      </w:pPr>
      <w:hyperlink r:id="rId389">
        <w:r>
          <w:rPr>
            <w:rFonts w:ascii="Arial" w:cs="Arial" w:eastAsia="Arial" w:hAnsi="Arial"/>
            <w:sz w:val="18"/>
            <w:szCs w:val="18"/>
            <w:color w:val="0000EE"/>
          </w:rPr>
          <w:t>9.1</w:t>
        </w:r>
      </w:hyperlink>
      <w:r>
        <w:rPr>
          <w:rFonts w:ascii="Arial" w:cs="Arial" w:eastAsia="Arial" w:hAnsi="Arial"/>
          <w:sz w:val="18"/>
          <w:szCs w:val="18"/>
          <w:color w:val="0000EE"/>
        </w:rPr>
        <w:tab/>
      </w:r>
      <w:hyperlink r:id="rId389">
        <w:r>
          <w:rPr>
            <w:rFonts w:ascii="Arial" w:cs="Arial" w:eastAsia="Arial" w:hAnsi="Arial"/>
            <w:sz w:val="16"/>
            <w:szCs w:val="16"/>
            <w:u w:val="single" w:color="auto"/>
            <w:color w:val="0000EE"/>
          </w:rPr>
          <w:t>Voting Proxy of OCM Growth Holdings, LLC in favor of Runway Growth Credit Fund Inc.</w:t>
        </w:r>
        <w:r>
          <w:rPr>
            <w:rFonts w:ascii="Arial" w:cs="Arial" w:eastAsia="Arial" w:hAnsi="Arial"/>
            <w:sz w:val="23"/>
            <w:szCs w:val="23"/>
            <w:u w:val="single" w:color="auto"/>
            <w:color w:val="0000EE"/>
            <w:vertAlign w:val="superscript"/>
          </w:rPr>
          <w:t>(4)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-29845</wp:posOffset>
            </wp:positionV>
            <wp:extent cx="1657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165735" cy="8890"/>
                    </a:xfrm>
                    <a:prstGeom prst="rect">
                      <a:avLst/>
                    </a:prstGeom>
                    <a:noFill/>
                  </pic:spPr>
                </pic:pic>
              </a:graphicData>
            </a:graphic>
          </wp:anchor>
        </w:drawing>
      </w:r>
    </w:p>
    <w:p>
      <w:pPr>
        <w:spacing w:after="0" w:line="14" w:lineRule="exact"/>
        <w:rPr>
          <w:sz w:val="20"/>
          <w:szCs w:val="20"/>
          <w:color w:val="auto"/>
        </w:rPr>
      </w:pPr>
    </w:p>
    <w:p>
      <w:pPr>
        <w:ind w:left="1440"/>
        <w:spacing w:after="0"/>
        <w:tabs>
          <w:tab w:leader="none" w:pos="2140" w:val="left"/>
        </w:tabs>
        <w:rPr>
          <w:rFonts w:ascii="Arial" w:cs="Arial" w:eastAsia="Arial" w:hAnsi="Arial"/>
          <w:sz w:val="16"/>
          <w:szCs w:val="16"/>
          <w:u w:val="single" w:color="auto"/>
          <w:color w:val="0000EE"/>
        </w:rPr>
      </w:pPr>
      <w:hyperlink r:id="rId391">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r:id="rId391">
        <w:r>
          <w:rPr>
            <w:rFonts w:ascii="Arial" w:cs="Arial" w:eastAsia="Arial" w:hAnsi="Arial"/>
            <w:sz w:val="16"/>
            <w:szCs w:val="16"/>
            <w:u w:val="single" w:color="auto"/>
            <w:color w:val="0000EE"/>
          </w:rPr>
          <w:t>Amended and Restated Investment Advisory Agreement between Runway Growth Credit Fund Inc.</w:t>
        </w:r>
      </w:hyperlink>
    </w:p>
    <w:p>
      <w:pPr>
        <w:ind w:left="2160"/>
        <w:spacing w:after="0" w:line="198" w:lineRule="auto"/>
        <w:rPr>
          <w:rFonts w:ascii="Arial" w:cs="Arial" w:eastAsia="Arial" w:hAnsi="Arial"/>
          <w:sz w:val="18"/>
          <w:szCs w:val="18"/>
          <w:u w:val="single" w:color="auto"/>
          <w:color w:val="0000EE"/>
        </w:rPr>
      </w:pPr>
      <w:hyperlink r:id="rId391">
        <w:r>
          <w:rPr>
            <w:rFonts w:ascii="Arial" w:cs="Arial" w:eastAsia="Arial" w:hAnsi="Arial"/>
            <w:sz w:val="18"/>
            <w:szCs w:val="18"/>
            <w:u w:val="single" w:color="auto"/>
            <w:color w:val="0000EE"/>
          </w:rPr>
          <w:t>and Runway Growth Capital LLC, as the investment adviser</w:t>
        </w:r>
        <w:r>
          <w:rPr>
            <w:rFonts w:ascii="Arial" w:cs="Arial" w:eastAsia="Arial" w:hAnsi="Arial"/>
            <w:sz w:val="26"/>
            <w:szCs w:val="26"/>
            <w:u w:val="single" w:color="auto"/>
            <w:color w:val="0000EE"/>
            <w:vertAlign w:val="superscript"/>
          </w:rPr>
          <w:t>(5)</w:t>
        </w:r>
      </w:hyperlink>
    </w:p>
    <w:p>
      <w:pPr>
        <w:spacing w:after="0" w:line="16" w:lineRule="exact"/>
        <w:rPr>
          <w:sz w:val="20"/>
          <w:szCs w:val="20"/>
          <w:color w:val="auto"/>
        </w:rPr>
      </w:pPr>
    </w:p>
    <w:p>
      <w:pPr>
        <w:ind w:left="2160" w:right="699" w:hanging="710"/>
        <w:spacing w:after="0" w:line="238" w:lineRule="auto"/>
        <w:tabs>
          <w:tab w:leader="none" w:pos="2140" w:val="left"/>
        </w:tabs>
        <w:rPr>
          <w:rFonts w:ascii="Arial" w:cs="Arial" w:eastAsia="Arial" w:hAnsi="Arial"/>
          <w:sz w:val="18"/>
          <w:szCs w:val="18"/>
          <w:u w:val="single" w:color="auto"/>
          <w:color w:val="0000EE"/>
        </w:rPr>
      </w:pPr>
      <w:hyperlink r:id="rId392">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r:id="rId392">
        <w:r>
          <w:rPr>
            <w:rFonts w:ascii="Arial" w:cs="Arial" w:eastAsia="Arial" w:hAnsi="Arial"/>
            <w:sz w:val="18"/>
            <w:szCs w:val="18"/>
            <w:u w:val="single" w:color="auto"/>
            <w:color w:val="0000EE"/>
          </w:rPr>
          <w:t>Administration Agreement between Runway Growth Credit Fund Inc. and GSV Credit Service</w:t>
        </w:r>
      </w:hyperlink>
      <w:r>
        <w:rPr>
          <w:rFonts w:ascii="Arial" w:cs="Arial" w:eastAsia="Arial" w:hAnsi="Arial"/>
          <w:sz w:val="18"/>
          <w:szCs w:val="18"/>
          <w:u w:val="single" w:color="auto"/>
          <w:color w:val="0000EE"/>
        </w:rPr>
        <w:t xml:space="preserve"> </w:t>
      </w:r>
      <w:hyperlink r:id="rId392">
        <w:r>
          <w:rPr>
            <w:rFonts w:ascii="Arial" w:cs="Arial" w:eastAsia="Arial" w:hAnsi="Arial"/>
            <w:sz w:val="18"/>
            <w:szCs w:val="18"/>
            <w:u w:val="single" w:color="auto"/>
            <w:color w:val="0000EE"/>
          </w:rPr>
          <w:t>Company, LLC, as the administrator</w:t>
        </w:r>
        <w:r>
          <w:rPr>
            <w:rFonts w:ascii="Arial" w:cs="Arial" w:eastAsia="Arial" w:hAnsi="Arial"/>
            <w:sz w:val="26"/>
            <w:szCs w:val="26"/>
            <w:u w:val="single" w:color="auto"/>
            <w:color w:val="0000EE"/>
            <w:vertAlign w:val="superscript"/>
          </w:rPr>
          <w:t>(1)</w:t>
        </w:r>
      </w:hyperlink>
    </w:p>
    <w:p>
      <w:pPr>
        <w:ind w:left="2160" w:right="699" w:hanging="710"/>
        <w:spacing w:after="0" w:line="230" w:lineRule="auto"/>
        <w:tabs>
          <w:tab w:leader="none" w:pos="2140" w:val="left"/>
        </w:tabs>
        <w:rPr>
          <w:rFonts w:ascii="Arial" w:cs="Arial" w:eastAsia="Arial" w:hAnsi="Arial"/>
          <w:sz w:val="18"/>
          <w:szCs w:val="18"/>
          <w:u w:val="single" w:color="auto"/>
          <w:color w:val="0000EE"/>
        </w:rPr>
      </w:pPr>
      <w:hyperlink r:id="rId393">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r:id="rId393">
        <w:r>
          <w:rPr>
            <w:rFonts w:ascii="Arial" w:cs="Arial" w:eastAsia="Arial" w:hAnsi="Arial"/>
            <w:sz w:val="18"/>
            <w:szCs w:val="18"/>
            <w:u w:val="single" w:color="auto"/>
            <w:color w:val="0000EE"/>
          </w:rPr>
          <w:t>Stockholder Agreement between Runway Growth Credit Fund Inc. and OCM Growth Holdings,</w:t>
        </w:r>
      </w:hyperlink>
      <w:r>
        <w:rPr>
          <w:rFonts w:ascii="Arial" w:cs="Arial" w:eastAsia="Arial" w:hAnsi="Arial"/>
          <w:sz w:val="18"/>
          <w:szCs w:val="18"/>
          <w:u w:val="single" w:color="auto"/>
          <w:color w:val="0000EE"/>
        </w:rPr>
        <w:t xml:space="preserve"> </w:t>
      </w:r>
      <w:hyperlink r:id="rId393">
        <w:r>
          <w:rPr>
            <w:rFonts w:ascii="Arial" w:cs="Arial" w:eastAsia="Arial" w:hAnsi="Arial"/>
            <w:sz w:val="18"/>
            <w:szCs w:val="18"/>
            <w:u w:val="single" w:color="auto"/>
            <w:color w:val="0000EE"/>
          </w:rPr>
          <w:t>LLC</w:t>
        </w:r>
        <w:r>
          <w:rPr>
            <w:rFonts w:ascii="Arial" w:cs="Arial" w:eastAsia="Arial" w:hAnsi="Arial"/>
            <w:sz w:val="26"/>
            <w:szCs w:val="26"/>
            <w:u w:val="single" w:color="auto"/>
            <w:color w:val="0000EE"/>
            <w:vertAlign w:val="superscript"/>
          </w:rPr>
          <w:t>(1)</w:t>
        </w:r>
      </w:hyperlink>
    </w:p>
    <w:p>
      <w:pPr>
        <w:spacing w:after="0" w:line="1" w:lineRule="exact"/>
        <w:rPr>
          <w:rFonts w:ascii="Arial" w:cs="Arial" w:eastAsia="Arial" w:hAnsi="Arial"/>
          <w:sz w:val="18"/>
          <w:szCs w:val="18"/>
          <w:u w:val="single" w:color="auto"/>
          <w:color w:val="0000EE"/>
        </w:rPr>
      </w:pPr>
    </w:p>
    <w:p>
      <w:pPr>
        <w:ind w:left="2160" w:right="699" w:hanging="710"/>
        <w:spacing w:after="0" w:line="217" w:lineRule="auto"/>
        <w:tabs>
          <w:tab w:leader="none" w:pos="2140" w:val="left"/>
        </w:tabs>
        <w:rPr>
          <w:rFonts w:ascii="Arial" w:cs="Arial" w:eastAsia="Arial" w:hAnsi="Arial"/>
          <w:sz w:val="18"/>
          <w:szCs w:val="18"/>
          <w:u w:val="single" w:color="auto"/>
          <w:color w:val="0000EE"/>
        </w:rPr>
      </w:pPr>
      <w:hyperlink r:id="rId394">
        <w:r>
          <w:rPr>
            <w:rFonts w:ascii="Arial" w:cs="Arial" w:eastAsia="Arial" w:hAnsi="Arial"/>
            <w:sz w:val="18"/>
            <w:szCs w:val="18"/>
            <w:u w:val="single" w:color="auto"/>
            <w:color w:val="0000EE"/>
          </w:rPr>
          <w:t>10.4</w:t>
        </w:r>
      </w:hyperlink>
      <w:r>
        <w:rPr>
          <w:rFonts w:ascii="Arial" w:cs="Arial" w:eastAsia="Arial" w:hAnsi="Arial"/>
          <w:sz w:val="18"/>
          <w:szCs w:val="18"/>
          <w:u w:val="single" w:color="auto"/>
          <w:color w:val="0000EE"/>
        </w:rPr>
        <w:tab/>
      </w:r>
      <w:hyperlink r:id="rId394">
        <w:r>
          <w:rPr>
            <w:rFonts w:ascii="Arial" w:cs="Arial" w:eastAsia="Arial" w:hAnsi="Arial"/>
            <w:sz w:val="18"/>
            <w:szCs w:val="18"/>
            <w:u w:val="single" w:color="auto"/>
            <w:color w:val="0000EE"/>
          </w:rPr>
          <w:t>Custody Agreement between Runway Growth Credit Fund Inc. and U.S. Bank National Association,</w:t>
        </w:r>
      </w:hyperlink>
      <w:r>
        <w:rPr>
          <w:rFonts w:ascii="Arial" w:cs="Arial" w:eastAsia="Arial" w:hAnsi="Arial"/>
          <w:sz w:val="18"/>
          <w:szCs w:val="18"/>
          <w:u w:val="single" w:color="auto"/>
          <w:color w:val="0000EE"/>
        </w:rPr>
        <w:t xml:space="preserve"> </w:t>
      </w:r>
      <w:hyperlink r:id="rId394">
        <w:r>
          <w:rPr>
            <w:rFonts w:ascii="Arial" w:cs="Arial" w:eastAsia="Arial" w:hAnsi="Arial"/>
            <w:sz w:val="18"/>
            <w:szCs w:val="18"/>
            <w:u w:val="single" w:color="auto"/>
            <w:color w:val="0000EE"/>
          </w:rPr>
          <w:t>as the custodian</w:t>
        </w:r>
        <w:r>
          <w:rPr>
            <w:rFonts w:ascii="Arial" w:cs="Arial" w:eastAsia="Arial" w:hAnsi="Arial"/>
            <w:sz w:val="26"/>
            <w:szCs w:val="26"/>
            <w:u w:val="single" w:color="auto"/>
            <w:color w:val="0000EE"/>
            <w:vertAlign w:val="superscript"/>
          </w:rPr>
          <w:t>(1)</w:t>
        </w:r>
      </w:hyperlink>
    </w:p>
    <w:p>
      <w:pPr>
        <w:spacing w:after="0" w:line="1" w:lineRule="exact"/>
        <w:rPr>
          <w:rFonts w:ascii="Arial" w:cs="Arial" w:eastAsia="Arial" w:hAnsi="Arial"/>
          <w:sz w:val="18"/>
          <w:szCs w:val="18"/>
          <w:u w:val="single" w:color="auto"/>
          <w:color w:val="0000EE"/>
        </w:rPr>
      </w:pPr>
    </w:p>
    <w:p>
      <w:pPr>
        <w:ind w:left="1440"/>
        <w:spacing w:after="0"/>
        <w:tabs>
          <w:tab w:leader="none" w:pos="2140" w:val="left"/>
        </w:tabs>
        <w:rPr>
          <w:rFonts w:ascii="Arial" w:cs="Arial" w:eastAsia="Arial" w:hAnsi="Arial"/>
          <w:sz w:val="16"/>
          <w:szCs w:val="16"/>
          <w:u w:val="single" w:color="auto"/>
          <w:color w:val="0000EE"/>
        </w:rPr>
      </w:pPr>
      <w:hyperlink r:id="rId395">
        <w:r>
          <w:rPr>
            <w:rFonts w:ascii="Arial" w:cs="Arial" w:eastAsia="Arial" w:hAnsi="Arial"/>
            <w:sz w:val="18"/>
            <w:szCs w:val="18"/>
            <w:u w:val="single" w:color="auto"/>
            <w:color w:val="0000EE"/>
          </w:rPr>
          <w:t>10.5</w:t>
        </w:r>
      </w:hyperlink>
      <w:r>
        <w:rPr>
          <w:rFonts w:ascii="Arial" w:cs="Arial" w:eastAsia="Arial" w:hAnsi="Arial"/>
          <w:sz w:val="18"/>
          <w:szCs w:val="18"/>
          <w:u w:val="single" w:color="auto"/>
          <w:color w:val="0000EE"/>
        </w:rPr>
        <w:tab/>
      </w:r>
      <w:hyperlink r:id="rId395">
        <w:r>
          <w:rPr>
            <w:rFonts w:ascii="Arial" w:cs="Arial" w:eastAsia="Arial" w:hAnsi="Arial"/>
            <w:sz w:val="16"/>
            <w:szCs w:val="16"/>
            <w:u w:val="single" w:color="auto"/>
            <w:color w:val="0000EE"/>
          </w:rPr>
          <w:t>Dividend Reinvestment Plan</w:t>
        </w:r>
        <w:r>
          <w:rPr>
            <w:rFonts w:ascii="Arial" w:cs="Arial" w:eastAsia="Arial" w:hAnsi="Arial"/>
            <w:sz w:val="23"/>
            <w:szCs w:val="23"/>
            <w:u w:val="single" w:color="auto"/>
            <w:color w:val="0000EE"/>
            <w:vertAlign w:val="superscript"/>
          </w:rPr>
          <w:t>(6)</w:t>
        </w:r>
      </w:hyperlink>
    </w:p>
    <w:p>
      <w:pPr>
        <w:spacing w:after="0" w:line="6" w:lineRule="exact"/>
        <w:rPr>
          <w:sz w:val="20"/>
          <w:szCs w:val="20"/>
          <w:color w:val="auto"/>
        </w:rPr>
      </w:pPr>
    </w:p>
    <w:p>
      <w:pPr>
        <w:ind w:left="1440"/>
        <w:spacing w:after="0"/>
        <w:tabs>
          <w:tab w:leader="none" w:pos="2140" w:val="left"/>
        </w:tabs>
        <w:rPr>
          <w:rFonts w:ascii="Arial" w:cs="Arial" w:eastAsia="Arial" w:hAnsi="Arial"/>
          <w:sz w:val="16"/>
          <w:szCs w:val="16"/>
          <w:u w:val="single" w:color="auto"/>
          <w:color w:val="0000EE"/>
        </w:rPr>
      </w:pPr>
      <w:hyperlink r:id="rId396">
        <w:r>
          <w:rPr>
            <w:rFonts w:ascii="Arial" w:cs="Arial" w:eastAsia="Arial" w:hAnsi="Arial"/>
            <w:sz w:val="18"/>
            <w:szCs w:val="18"/>
            <w:u w:val="single" w:color="auto"/>
            <w:color w:val="0000EE"/>
          </w:rPr>
          <w:t>10.6</w:t>
        </w:r>
      </w:hyperlink>
      <w:r>
        <w:rPr>
          <w:rFonts w:ascii="Arial" w:cs="Arial" w:eastAsia="Arial" w:hAnsi="Arial"/>
          <w:sz w:val="18"/>
          <w:szCs w:val="18"/>
          <w:u w:val="single" w:color="auto"/>
          <w:color w:val="0000EE"/>
        </w:rPr>
        <w:tab/>
      </w:r>
      <w:hyperlink r:id="rId396">
        <w:r>
          <w:rPr>
            <w:rFonts w:ascii="Arial" w:cs="Arial" w:eastAsia="Arial" w:hAnsi="Arial"/>
            <w:sz w:val="16"/>
            <w:szCs w:val="16"/>
            <w:u w:val="single" w:color="auto"/>
            <w:color w:val="0000EE"/>
          </w:rPr>
          <w:t>Form of Indemnification Agreement</w:t>
        </w:r>
        <w:r>
          <w:rPr>
            <w:rFonts w:ascii="Arial" w:cs="Arial" w:eastAsia="Arial" w:hAnsi="Arial"/>
            <w:sz w:val="23"/>
            <w:szCs w:val="23"/>
            <w:u w:val="single" w:color="auto"/>
            <w:color w:val="0000EE"/>
            <w:vertAlign w:val="superscript"/>
          </w:rPr>
          <w:t>(6)</w:t>
        </w:r>
      </w:hyperlink>
    </w:p>
    <w:p>
      <w:pPr>
        <w:spacing w:after="0" w:line="6" w:lineRule="exact"/>
        <w:rPr>
          <w:sz w:val="20"/>
          <w:szCs w:val="20"/>
          <w:color w:val="auto"/>
        </w:rPr>
      </w:pPr>
    </w:p>
    <w:p>
      <w:pPr>
        <w:ind w:left="1440"/>
        <w:spacing w:after="0"/>
        <w:tabs>
          <w:tab w:leader="none" w:pos="2140" w:val="left"/>
        </w:tabs>
        <w:rPr>
          <w:rFonts w:ascii="Arial" w:cs="Arial" w:eastAsia="Arial" w:hAnsi="Arial"/>
          <w:sz w:val="16"/>
          <w:szCs w:val="16"/>
          <w:u w:val="single" w:color="auto"/>
          <w:color w:val="0000EE"/>
        </w:rPr>
      </w:pPr>
      <w:hyperlink r:id="rId397">
        <w:r>
          <w:rPr>
            <w:rFonts w:ascii="Arial" w:cs="Arial" w:eastAsia="Arial" w:hAnsi="Arial"/>
            <w:sz w:val="18"/>
            <w:szCs w:val="18"/>
            <w:u w:val="single" w:color="auto"/>
            <w:color w:val="0000EE"/>
          </w:rPr>
          <w:t>10.7</w:t>
        </w:r>
      </w:hyperlink>
      <w:r>
        <w:rPr>
          <w:rFonts w:ascii="Arial" w:cs="Arial" w:eastAsia="Arial" w:hAnsi="Arial"/>
          <w:sz w:val="18"/>
          <w:szCs w:val="18"/>
          <w:u w:val="single" w:color="auto"/>
          <w:color w:val="0000EE"/>
        </w:rPr>
        <w:tab/>
      </w:r>
      <w:hyperlink r:id="rId397">
        <w:r>
          <w:rPr>
            <w:rFonts w:ascii="Arial" w:cs="Arial" w:eastAsia="Arial" w:hAnsi="Arial"/>
            <w:sz w:val="16"/>
            <w:szCs w:val="16"/>
            <w:u w:val="single" w:color="auto"/>
            <w:color w:val="0000EE"/>
          </w:rPr>
          <w:t>Trademark License Agreement by and between Runway Growth Capital LLC and the Registrant</w:t>
        </w:r>
        <w:r>
          <w:rPr>
            <w:rFonts w:ascii="Arial" w:cs="Arial" w:eastAsia="Arial" w:hAnsi="Arial"/>
            <w:sz w:val="23"/>
            <w:szCs w:val="23"/>
            <w:u w:val="single" w:color="auto"/>
            <w:color w:val="0000EE"/>
            <w:vertAlign w:val="superscript"/>
          </w:rPr>
          <w:t>(7)</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2160" w:right="679" w:hanging="710"/>
        <w:spacing w:after="0" w:line="250" w:lineRule="auto"/>
        <w:tabs>
          <w:tab w:leader="none" w:pos="2140" w:val="left"/>
        </w:tabs>
        <w:rPr>
          <w:rFonts w:ascii="Arial" w:cs="Arial" w:eastAsia="Arial" w:hAnsi="Arial"/>
          <w:sz w:val="18"/>
          <w:szCs w:val="18"/>
          <w:u w:val="single" w:color="auto"/>
          <w:color w:val="0000EE"/>
        </w:rPr>
      </w:pPr>
      <w:hyperlink r:id="rId399">
        <w:r>
          <w:rPr>
            <w:rFonts w:ascii="Arial" w:cs="Arial" w:eastAsia="Arial" w:hAnsi="Arial"/>
            <w:sz w:val="18"/>
            <w:szCs w:val="18"/>
            <w:u w:val="single" w:color="auto"/>
            <w:color w:val="0000EE"/>
          </w:rPr>
          <w:t>10.8</w:t>
        </w:r>
      </w:hyperlink>
      <w:r>
        <w:rPr>
          <w:rFonts w:ascii="Arial" w:cs="Arial" w:eastAsia="Arial" w:hAnsi="Arial"/>
          <w:sz w:val="18"/>
          <w:szCs w:val="18"/>
          <w:u w:val="single" w:color="auto"/>
          <w:color w:val="0000EE"/>
        </w:rPr>
        <w:tab/>
      </w:r>
      <w:hyperlink r:id="rId399">
        <w:r>
          <w:rPr>
            <w:rFonts w:ascii="Arial" w:cs="Arial" w:eastAsia="Arial" w:hAnsi="Arial"/>
            <w:sz w:val="18"/>
            <w:szCs w:val="18"/>
            <w:u w:val="single" w:color="auto"/>
            <w:color w:val="0000EE"/>
          </w:rPr>
          <w:t>Transfer Agent Agreement by and between American Stock Transfer &amp; Trust Company, LLC and the</w:t>
        </w:r>
      </w:hyperlink>
      <w:r>
        <w:rPr>
          <w:rFonts w:ascii="Arial" w:cs="Arial" w:eastAsia="Arial" w:hAnsi="Arial"/>
          <w:sz w:val="18"/>
          <w:szCs w:val="18"/>
          <w:u w:val="single" w:color="auto"/>
          <w:color w:val="0000EE"/>
        </w:rPr>
        <w:t xml:space="preserve"> </w:t>
      </w:r>
      <w:hyperlink r:id="rId399">
        <w:r>
          <w:rPr>
            <w:rFonts w:ascii="Arial" w:cs="Arial" w:eastAsia="Arial" w:hAnsi="Arial"/>
            <w:sz w:val="18"/>
            <w:szCs w:val="18"/>
            <w:u w:val="single" w:color="auto"/>
            <w:color w:val="0000EE"/>
          </w:rPr>
          <w:t>Registrant</w:t>
        </w:r>
        <w:r>
          <w:rPr>
            <w:rFonts w:ascii="Arial" w:cs="Arial" w:eastAsia="Arial" w:hAnsi="Arial"/>
            <w:sz w:val="26"/>
            <w:szCs w:val="26"/>
            <w:u w:val="single" w:color="auto"/>
            <w:color w:val="0000EE"/>
            <w:vertAlign w:val="superscript"/>
          </w:rPr>
          <w:t>(8)</w:t>
        </w:r>
      </w:hyperlink>
    </w:p>
    <w:p>
      <w:pPr>
        <w:spacing w:after="0" w:line="2" w:lineRule="exact"/>
        <w:rPr>
          <w:rFonts w:ascii="Arial" w:cs="Arial" w:eastAsia="Arial" w:hAnsi="Arial"/>
          <w:sz w:val="18"/>
          <w:szCs w:val="18"/>
          <w:u w:val="single" w:color="auto"/>
          <w:color w:val="0000EE"/>
        </w:rPr>
      </w:pPr>
    </w:p>
    <w:p>
      <w:pPr>
        <w:jc w:val="both"/>
        <w:ind w:left="2160" w:right="699" w:hanging="710"/>
        <w:spacing w:after="0" w:line="244" w:lineRule="auto"/>
        <w:tabs>
          <w:tab w:leader="none" w:pos="2140" w:val="left"/>
        </w:tabs>
        <w:rPr>
          <w:rFonts w:ascii="Arial" w:cs="Arial" w:eastAsia="Arial" w:hAnsi="Arial"/>
          <w:sz w:val="18"/>
          <w:szCs w:val="18"/>
          <w:u w:val="single" w:color="auto"/>
          <w:color w:val="0000EE"/>
        </w:rPr>
      </w:pPr>
      <w:hyperlink r:id="rId400">
        <w:r>
          <w:rPr>
            <w:rFonts w:ascii="Arial" w:cs="Arial" w:eastAsia="Arial" w:hAnsi="Arial"/>
            <w:sz w:val="18"/>
            <w:szCs w:val="18"/>
            <w:u w:val="single" w:color="auto"/>
            <w:color w:val="0000EE"/>
          </w:rPr>
          <w:t>10.9</w:t>
        </w:r>
      </w:hyperlink>
      <w:r>
        <w:rPr>
          <w:rFonts w:ascii="Arial" w:cs="Arial" w:eastAsia="Arial" w:hAnsi="Arial"/>
          <w:sz w:val="18"/>
          <w:szCs w:val="18"/>
          <w:u w:val="single" w:color="auto"/>
          <w:color w:val="0000EE"/>
        </w:rPr>
        <w:tab/>
      </w:r>
      <w:hyperlink r:id="rId400">
        <w:r>
          <w:rPr>
            <w:rFonts w:ascii="Arial" w:cs="Arial" w:eastAsia="Arial" w:hAnsi="Arial"/>
            <w:sz w:val="18"/>
            <w:szCs w:val="18"/>
            <w:u w:val="single" w:color="auto"/>
            <w:color w:val="0000EE"/>
          </w:rPr>
          <w:t>Marketing and Consulting Agreement by and between Pickwick Capital Partners, LLC, Runway</w:t>
        </w:r>
      </w:hyperlink>
      <w:r>
        <w:rPr>
          <w:rFonts w:ascii="Arial" w:cs="Arial" w:eastAsia="Arial" w:hAnsi="Arial"/>
          <w:sz w:val="18"/>
          <w:szCs w:val="18"/>
          <w:u w:val="single" w:color="auto"/>
          <w:color w:val="0000EE"/>
        </w:rPr>
        <w:t xml:space="preserve"> </w:t>
      </w:r>
      <w:hyperlink r:id="rId400">
        <w:r>
          <w:rPr>
            <w:rFonts w:ascii="Arial" w:cs="Arial" w:eastAsia="Arial" w:hAnsi="Arial"/>
            <w:sz w:val="18"/>
            <w:szCs w:val="18"/>
            <w:u w:val="single" w:color="auto"/>
            <w:color w:val="0000EE"/>
          </w:rPr>
          <w:t>Growth Capital LLC and the Registrant</w:t>
        </w:r>
        <w:r>
          <w:rPr>
            <w:rFonts w:ascii="Arial" w:cs="Arial" w:eastAsia="Arial" w:hAnsi="Arial"/>
            <w:sz w:val="26"/>
            <w:szCs w:val="26"/>
            <w:u w:val="single" w:color="auto"/>
            <w:color w:val="0000EE"/>
            <w:vertAlign w:val="superscript"/>
          </w:rPr>
          <w:t>(9)</w:t>
        </w:r>
      </w:hyperlink>
    </w:p>
    <w:p>
      <w:pPr>
        <w:spacing w:after="0" w:line="1" w:lineRule="exact"/>
        <w:rPr>
          <w:rFonts w:ascii="Arial" w:cs="Arial" w:eastAsia="Arial" w:hAnsi="Arial"/>
          <w:sz w:val="18"/>
          <w:szCs w:val="18"/>
          <w:u w:val="single" w:color="auto"/>
          <w:color w:val="0000EE"/>
        </w:rPr>
      </w:pPr>
    </w:p>
    <w:p>
      <w:pPr>
        <w:jc w:val="both"/>
        <w:ind w:left="2160" w:right="699" w:hanging="710"/>
        <w:spacing w:after="0" w:line="249" w:lineRule="auto"/>
        <w:tabs>
          <w:tab w:leader="none" w:pos="2140" w:val="left"/>
        </w:tabs>
        <w:rPr>
          <w:rFonts w:ascii="Arial" w:cs="Arial" w:eastAsia="Arial" w:hAnsi="Arial"/>
          <w:sz w:val="18"/>
          <w:szCs w:val="18"/>
          <w:u w:val="single" w:color="auto"/>
          <w:color w:val="0000EE"/>
        </w:rPr>
      </w:pPr>
      <w:hyperlink r:id="rId401">
        <w:r>
          <w:rPr>
            <w:rFonts w:ascii="Arial" w:cs="Arial" w:eastAsia="Arial" w:hAnsi="Arial"/>
            <w:sz w:val="18"/>
            <w:szCs w:val="18"/>
            <w:color w:val="0000EE"/>
          </w:rPr>
          <w:t>10.10</w:t>
        </w:r>
      </w:hyperlink>
      <w:r>
        <w:rPr>
          <w:rFonts w:ascii="Arial" w:cs="Arial" w:eastAsia="Arial" w:hAnsi="Arial"/>
          <w:sz w:val="18"/>
          <w:szCs w:val="18"/>
          <w:color w:val="0000EE"/>
        </w:rPr>
        <w:tab/>
      </w:r>
      <w:hyperlink r:id="rId401">
        <w:r>
          <w:rPr>
            <w:rFonts w:ascii="Arial" w:cs="Arial" w:eastAsia="Arial" w:hAnsi="Arial"/>
            <w:sz w:val="18"/>
            <w:szCs w:val="18"/>
            <w:u w:val="single" w:color="auto"/>
            <w:color w:val="0000EE"/>
          </w:rPr>
          <w:t>Marketing and Consulting Agreement by and between Peak Capital Limited, Runway Growth</w:t>
        </w:r>
      </w:hyperlink>
      <w:r>
        <w:rPr>
          <w:rFonts w:ascii="Arial" w:cs="Arial" w:eastAsia="Arial" w:hAnsi="Arial"/>
          <w:sz w:val="18"/>
          <w:szCs w:val="18"/>
          <w:u w:val="single" w:color="auto"/>
          <w:color w:val="0000EE"/>
        </w:rPr>
        <w:t xml:space="preserve"> </w:t>
      </w:r>
      <w:hyperlink r:id="rId401">
        <w:r>
          <w:rPr>
            <w:rFonts w:ascii="Arial" w:cs="Arial" w:eastAsia="Arial" w:hAnsi="Arial"/>
            <w:sz w:val="18"/>
            <w:szCs w:val="18"/>
            <w:u w:val="single" w:color="auto"/>
            <w:color w:val="0000EE"/>
          </w:rPr>
          <w:t>Capital LLC and the Registrant</w:t>
        </w:r>
        <w:r>
          <w:rPr>
            <w:rFonts w:ascii="Arial" w:cs="Arial" w:eastAsia="Arial" w:hAnsi="Arial"/>
            <w:sz w:val="26"/>
            <w:szCs w:val="26"/>
            <w:u w:val="single" w:color="auto"/>
            <w:color w:val="0000EE"/>
            <w:vertAlign w:val="superscript"/>
          </w:rPr>
          <w:t>(9)</w:t>
        </w:r>
      </w:hyperlink>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858520</wp:posOffset>
            </wp:positionH>
            <wp:positionV relativeFrom="paragraph">
              <wp:posOffset>-215265</wp:posOffset>
            </wp:positionV>
            <wp:extent cx="3143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jc w:val="both"/>
        <w:ind w:left="2160" w:right="699" w:hanging="707"/>
        <w:spacing w:after="0" w:line="287" w:lineRule="auto"/>
        <w:tabs>
          <w:tab w:leader="none" w:pos="2140" w:val="left"/>
        </w:tabs>
        <w:rPr>
          <w:rFonts w:ascii="Arial" w:cs="Arial" w:eastAsia="Arial" w:hAnsi="Arial"/>
          <w:sz w:val="16"/>
          <w:szCs w:val="16"/>
          <w:u w:val="single" w:color="auto"/>
          <w:color w:val="0000EE"/>
        </w:rPr>
      </w:pPr>
      <w:hyperlink r:id="rId403">
        <w:r>
          <w:rPr>
            <w:rFonts w:ascii="Arial" w:cs="Arial" w:eastAsia="Arial" w:hAnsi="Arial"/>
            <w:sz w:val="18"/>
            <w:szCs w:val="18"/>
            <w:color w:val="0000EE"/>
          </w:rPr>
          <w:t>10.11</w:t>
        </w:r>
      </w:hyperlink>
      <w:r>
        <w:rPr>
          <w:rFonts w:ascii="Arial" w:cs="Arial" w:eastAsia="Arial" w:hAnsi="Arial"/>
          <w:sz w:val="18"/>
          <w:szCs w:val="18"/>
          <w:color w:val="0000EE"/>
        </w:rPr>
        <w:tab/>
      </w:r>
      <w:hyperlink r:id="rId403">
        <w:r>
          <w:rPr>
            <w:rFonts w:ascii="Arial" w:cs="Arial" w:eastAsia="Arial" w:hAnsi="Arial"/>
            <w:sz w:val="16"/>
            <w:szCs w:val="16"/>
            <w:u w:val="single" w:color="auto"/>
            <w:color w:val="0000EE"/>
          </w:rPr>
          <w:t>Credit Agreement, dated as of May 31, 2019, by and among the Company, as borrower, KeyBank</w:t>
        </w:r>
      </w:hyperlink>
      <w:r>
        <w:rPr>
          <w:rFonts w:ascii="Arial" w:cs="Arial" w:eastAsia="Arial" w:hAnsi="Arial"/>
          <w:sz w:val="16"/>
          <w:szCs w:val="16"/>
          <w:u w:val="single" w:color="auto"/>
          <w:color w:val="0000EE"/>
        </w:rPr>
        <w:t xml:space="preserve"> </w:t>
      </w:r>
      <w:hyperlink r:id="rId403">
        <w:r>
          <w:rPr>
            <w:rFonts w:ascii="Arial" w:cs="Arial" w:eastAsia="Arial" w:hAnsi="Arial"/>
            <w:sz w:val="16"/>
            <w:szCs w:val="16"/>
            <w:u w:val="single" w:color="auto"/>
            <w:color w:val="0000EE"/>
          </w:rPr>
          <w:t>National Association, as administrative agent and syndication agent, CIBC Bank USA, as</w:t>
        </w:r>
      </w:hyperlink>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860425</wp:posOffset>
            </wp:positionH>
            <wp:positionV relativeFrom="paragraph">
              <wp:posOffset>-161290</wp:posOffset>
            </wp:positionV>
            <wp:extent cx="3098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4">
                      <a:extLst>
                        <a:ext uri="{28A0092B-C50C-407E-A947-70E740481C1C}"/>
                      </a:extLst>
                    </a:blip>
                    <a:srcRect/>
                    <a:stretch>
                      <a:fillRect/>
                    </a:stretch>
                  </pic:blipFill>
                  <pic:spPr bwMode="auto">
                    <a:xfrm>
                      <a:off x="0" y="0"/>
                      <a:ext cx="309880" cy="8255"/>
                    </a:xfrm>
                    <a:prstGeom prst="rect">
                      <a:avLst/>
                    </a:prstGeom>
                    <a:noFill/>
                  </pic:spPr>
                </pic:pic>
              </a:graphicData>
            </a:graphic>
          </wp:anchor>
        </w:drawing>
      </w:r>
    </w:p>
    <w:p>
      <w:pPr>
        <w:ind w:left="2160" w:right="679"/>
        <w:spacing w:after="0" w:line="245" w:lineRule="auto"/>
        <w:rPr>
          <w:rFonts w:ascii="Arial" w:cs="Arial" w:eastAsia="Arial" w:hAnsi="Arial"/>
          <w:sz w:val="18"/>
          <w:szCs w:val="18"/>
          <w:u w:val="single" w:color="auto"/>
          <w:color w:val="0000EE"/>
        </w:rPr>
      </w:pPr>
      <w:hyperlink r:id="rId403">
        <w:r>
          <w:rPr>
            <w:rFonts w:ascii="Arial" w:cs="Arial" w:eastAsia="Arial" w:hAnsi="Arial"/>
            <w:sz w:val="18"/>
            <w:szCs w:val="18"/>
            <w:u w:val="single" w:color="auto"/>
            <w:color w:val="0000EE"/>
          </w:rPr>
          <w:t>documentation agent, U.S. Bank National Association, as paying agent, the guarantors from time to</w:t>
        </w:r>
      </w:hyperlink>
      <w:r>
        <w:rPr>
          <w:rFonts w:ascii="Arial" w:cs="Arial" w:eastAsia="Arial" w:hAnsi="Arial"/>
          <w:sz w:val="18"/>
          <w:szCs w:val="18"/>
          <w:u w:val="single" w:color="auto"/>
          <w:color w:val="0000EE"/>
        </w:rPr>
        <w:t xml:space="preserve"> </w:t>
      </w:r>
      <w:hyperlink r:id="rId403">
        <w:r>
          <w:rPr>
            <w:rFonts w:ascii="Arial" w:cs="Arial" w:eastAsia="Arial" w:hAnsi="Arial"/>
            <w:sz w:val="18"/>
            <w:szCs w:val="18"/>
            <w:u w:val="single" w:color="auto"/>
            <w:color w:val="0000EE"/>
          </w:rPr>
          <w:t>time party thereto, and the lenders from time to time party thereto.</w:t>
        </w:r>
        <w:r>
          <w:rPr>
            <w:rFonts w:ascii="Arial" w:cs="Arial" w:eastAsia="Arial" w:hAnsi="Arial"/>
            <w:sz w:val="26"/>
            <w:szCs w:val="26"/>
            <w:u w:val="single" w:color="auto"/>
            <w:color w:val="0000EE"/>
            <w:vertAlign w:val="superscript"/>
          </w:rPr>
          <w:t>(10)</w:t>
        </w:r>
      </w:hyperlink>
    </w:p>
    <w:p>
      <w:pPr>
        <w:spacing w:after="0" w:line="1" w:lineRule="exact"/>
        <w:rPr>
          <w:sz w:val="20"/>
          <w:szCs w:val="20"/>
          <w:color w:val="auto"/>
        </w:rPr>
      </w:pPr>
    </w:p>
    <w:p>
      <w:pPr>
        <w:jc w:val="both"/>
        <w:ind w:left="2160" w:right="699" w:hanging="710"/>
        <w:spacing w:after="0" w:line="249" w:lineRule="auto"/>
        <w:tabs>
          <w:tab w:leader="none" w:pos="2140" w:val="left"/>
        </w:tabs>
        <w:rPr>
          <w:rFonts w:ascii="Arial" w:cs="Arial" w:eastAsia="Arial" w:hAnsi="Arial"/>
          <w:sz w:val="18"/>
          <w:szCs w:val="18"/>
          <w:u w:val="single" w:color="auto"/>
          <w:color w:val="0000EE"/>
        </w:rPr>
      </w:pPr>
      <w:hyperlink r:id="rId405">
        <w:r>
          <w:rPr>
            <w:rFonts w:ascii="Arial" w:cs="Arial" w:eastAsia="Arial" w:hAnsi="Arial"/>
            <w:sz w:val="18"/>
            <w:szCs w:val="18"/>
            <w:color w:val="0000EE"/>
          </w:rPr>
          <w:t>10.12</w:t>
        </w:r>
      </w:hyperlink>
      <w:r>
        <w:rPr>
          <w:rFonts w:ascii="Arial" w:cs="Arial" w:eastAsia="Arial" w:hAnsi="Arial"/>
          <w:sz w:val="18"/>
          <w:szCs w:val="18"/>
          <w:color w:val="0000EE"/>
        </w:rPr>
        <w:tab/>
      </w:r>
      <w:hyperlink r:id="rId405">
        <w:r>
          <w:rPr>
            <w:rFonts w:ascii="Arial" w:cs="Arial" w:eastAsia="Arial" w:hAnsi="Arial"/>
            <w:sz w:val="18"/>
            <w:szCs w:val="18"/>
            <w:u w:val="single" w:color="auto"/>
            <w:color w:val="0000EE"/>
          </w:rPr>
          <w:t>Document Custody Agreement, dated as of May 31, 2019, by and among the Company, KeyBank</w:t>
        </w:r>
      </w:hyperlink>
      <w:r>
        <w:rPr>
          <w:rFonts w:ascii="Arial" w:cs="Arial" w:eastAsia="Arial" w:hAnsi="Arial"/>
          <w:sz w:val="18"/>
          <w:szCs w:val="18"/>
          <w:u w:val="single" w:color="auto"/>
          <w:color w:val="0000EE"/>
        </w:rPr>
        <w:t xml:space="preserve"> </w:t>
      </w:r>
      <w:hyperlink r:id="rId405">
        <w:r>
          <w:rPr>
            <w:rFonts w:ascii="Arial" w:cs="Arial" w:eastAsia="Arial" w:hAnsi="Arial"/>
            <w:sz w:val="18"/>
            <w:szCs w:val="18"/>
            <w:u w:val="single" w:color="auto"/>
            <w:color w:val="0000EE"/>
          </w:rPr>
          <w:t>National Association, as administrative agent, and U.S. Bank National Association, as document</w:t>
        </w:r>
      </w:hyperlink>
      <w:r>
        <w:rPr>
          <w:rFonts w:ascii="Arial" w:cs="Arial" w:eastAsia="Arial" w:hAnsi="Arial"/>
          <w:sz w:val="18"/>
          <w:szCs w:val="18"/>
          <w:u w:val="single" w:color="auto"/>
          <w:color w:val="0000EE"/>
        </w:rPr>
        <w:t xml:space="preserve"> </w:t>
      </w:r>
      <w:hyperlink r:id="rId405">
        <w:r>
          <w:rPr>
            <w:rFonts w:ascii="Arial" w:cs="Arial" w:eastAsia="Arial" w:hAnsi="Arial"/>
            <w:sz w:val="18"/>
            <w:szCs w:val="18"/>
            <w:u w:val="single" w:color="auto"/>
            <w:color w:val="0000EE"/>
          </w:rPr>
          <w:t>custodian.</w:t>
        </w:r>
        <w:r>
          <w:rPr>
            <w:rFonts w:ascii="Arial" w:cs="Arial" w:eastAsia="Arial" w:hAnsi="Arial"/>
            <w:sz w:val="26"/>
            <w:szCs w:val="26"/>
            <w:u w:val="single" w:color="auto"/>
            <w:color w:val="0000EE"/>
            <w:vertAlign w:val="superscript"/>
          </w:rPr>
          <w:t>(10)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858520</wp:posOffset>
            </wp:positionH>
            <wp:positionV relativeFrom="paragraph">
              <wp:posOffset>-351790</wp:posOffset>
            </wp:positionV>
            <wp:extent cx="314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jc w:val="both"/>
        <w:ind w:left="2160" w:right="699" w:hanging="707"/>
        <w:spacing w:after="0" w:line="271" w:lineRule="auto"/>
        <w:tabs>
          <w:tab w:leader="none" w:pos="2140" w:val="left"/>
        </w:tabs>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11.1</w:t>
        </w:r>
      </w:hyperlink>
      <w:r>
        <w:rPr>
          <w:rFonts w:ascii="Arial" w:cs="Arial" w:eastAsia="Arial" w:hAnsi="Arial"/>
          <w:sz w:val="18"/>
          <w:szCs w:val="18"/>
          <w:u w:val="single" w:color="auto"/>
          <w:color w:val="0000EE"/>
        </w:rPr>
        <w:tab/>
      </w:r>
      <w:hyperlink w:anchor="page91">
        <w:r>
          <w:rPr>
            <w:rFonts w:ascii="Arial" w:cs="Arial" w:eastAsia="Arial" w:hAnsi="Arial"/>
            <w:sz w:val="18"/>
            <w:szCs w:val="18"/>
            <w:u w:val="single" w:color="auto"/>
            <w:color w:val="0000EE"/>
          </w:rPr>
          <w:t>Computation of Per Share Earnings (Included in the notes to the financial statements contained in</w:t>
        </w:r>
      </w:hyperlink>
      <w:r>
        <w:rPr>
          <w:rFonts w:ascii="Arial" w:cs="Arial" w:eastAsia="Arial" w:hAnsi="Arial"/>
          <w:sz w:val="18"/>
          <w:szCs w:val="18"/>
          <w:u w:val="single" w:color="auto"/>
          <w:color w:val="0000EE"/>
        </w:rPr>
        <w:t xml:space="preserve"> </w:t>
      </w:r>
      <w:hyperlink w:anchor="page91">
        <w:r>
          <w:rPr>
            <w:rFonts w:ascii="Arial" w:cs="Arial" w:eastAsia="Arial" w:hAnsi="Arial"/>
            <w:sz w:val="18"/>
            <w:szCs w:val="18"/>
            <w:u w:val="single" w:color="auto"/>
            <w:color w:val="0000EE"/>
          </w:rPr>
          <w:t>this report)*</w:t>
        </w:r>
      </w:hyperlink>
    </w:p>
    <w:p>
      <w:pPr>
        <w:spacing w:after="0" w:line="54" w:lineRule="exact"/>
        <w:rPr>
          <w:rFonts w:ascii="Arial" w:cs="Arial" w:eastAsia="Arial" w:hAnsi="Arial"/>
          <w:sz w:val="18"/>
          <w:szCs w:val="18"/>
          <w:u w:val="single" w:color="auto"/>
          <w:color w:val="0000EE"/>
        </w:rPr>
      </w:pPr>
    </w:p>
    <w:p>
      <w:pPr>
        <w:ind w:left="1440"/>
        <w:spacing w:after="0"/>
        <w:tabs>
          <w:tab w:leader="none" w:pos="21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 None</w:t>
      </w:r>
    </w:p>
    <w:p>
      <w:pPr>
        <w:spacing w:after="0" w:line="77" w:lineRule="exact"/>
        <w:rPr>
          <w:rFonts w:ascii="Arial" w:cs="Arial" w:eastAsia="Arial" w:hAnsi="Arial"/>
          <w:sz w:val="18"/>
          <w:szCs w:val="18"/>
          <w:u w:val="single" w:color="auto"/>
          <w:color w:val="0000EE"/>
        </w:rPr>
      </w:pPr>
    </w:p>
    <w:p>
      <w:pPr>
        <w:ind w:left="1440"/>
        <w:spacing w:after="0"/>
        <w:tabs>
          <w:tab w:leader="none" w:pos="2140" w:val="left"/>
        </w:tabs>
        <w:rPr>
          <w:rFonts w:ascii="Arial" w:cs="Arial" w:eastAsia="Arial" w:hAnsi="Arial"/>
          <w:sz w:val="16"/>
          <w:szCs w:val="16"/>
          <w:u w:val="single" w:color="auto"/>
          <w:color w:val="0000EE"/>
        </w:rPr>
      </w:pPr>
      <w:hyperlink w:anchor="page130">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130">
        <w:r>
          <w:rPr>
            <w:rFonts w:ascii="Arial" w:cs="Arial" w:eastAsia="Arial" w:hAnsi="Arial"/>
            <w:sz w:val="16"/>
            <w:szCs w:val="16"/>
            <w:u w:val="single" w:color="auto"/>
            <w:color w:val="0000EE"/>
          </w:rPr>
          <w:t>Certification of Chief Executive Officer pursuant to Rule 13a-14 of the Securities Exchange Act of</w:t>
        </w:r>
      </w:hyperlink>
    </w:p>
    <w:p>
      <w:pPr>
        <w:spacing w:after="0" w:line="23" w:lineRule="exact"/>
        <w:rPr>
          <w:sz w:val="20"/>
          <w:szCs w:val="20"/>
          <w:color w:val="auto"/>
        </w:rPr>
      </w:pPr>
    </w:p>
    <w:p>
      <w:pPr>
        <w:ind w:left="216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1934, as amended*</w:t>
        </w:r>
      </w:hyperlink>
    </w:p>
    <w:p>
      <w:pPr>
        <w:spacing w:after="0" w:line="76" w:lineRule="exact"/>
        <w:rPr>
          <w:sz w:val="20"/>
          <w:szCs w:val="20"/>
          <w:color w:val="auto"/>
        </w:rPr>
      </w:pPr>
    </w:p>
    <w:p>
      <w:pPr>
        <w:ind w:left="1440"/>
        <w:spacing w:after="0"/>
        <w:tabs>
          <w:tab w:leader="none" w:pos="2140" w:val="left"/>
        </w:tabs>
        <w:rPr>
          <w:rFonts w:ascii="Arial" w:cs="Arial" w:eastAsia="Arial" w:hAnsi="Arial"/>
          <w:sz w:val="17"/>
          <w:szCs w:val="17"/>
          <w:u w:val="single" w:color="auto"/>
          <w:color w:val="0000EE"/>
        </w:rPr>
      </w:pPr>
      <w:hyperlink w:anchor="page131">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131">
        <w:r>
          <w:rPr>
            <w:rFonts w:ascii="Arial" w:cs="Arial" w:eastAsia="Arial" w:hAnsi="Arial"/>
            <w:sz w:val="17"/>
            <w:szCs w:val="17"/>
            <w:u w:val="single" w:color="auto"/>
            <w:color w:val="0000EE"/>
          </w:rPr>
          <w:t>Certification of Chief Financial Officer pursuant to Rule 13a-14 of the Securities Exchange Act of</w:t>
        </w:r>
      </w:hyperlink>
    </w:p>
    <w:p>
      <w:pPr>
        <w:spacing w:after="0" w:line="23" w:lineRule="exact"/>
        <w:rPr>
          <w:sz w:val="20"/>
          <w:szCs w:val="20"/>
          <w:color w:val="auto"/>
        </w:rPr>
      </w:pPr>
    </w:p>
    <w:p>
      <w:pPr>
        <w:ind w:left="216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1934, as amended*</w:t>
        </w:r>
      </w:hyperlink>
    </w:p>
    <w:p>
      <w:pPr>
        <w:spacing w:after="0" w:line="76" w:lineRule="exact"/>
        <w:rPr>
          <w:sz w:val="20"/>
          <w:szCs w:val="20"/>
          <w:color w:val="auto"/>
        </w:rPr>
      </w:pPr>
    </w:p>
    <w:p>
      <w:pPr>
        <w:ind w:left="1440"/>
        <w:spacing w:after="0"/>
        <w:tabs>
          <w:tab w:leader="none" w:pos="2140" w:val="left"/>
        </w:tabs>
        <w:rPr>
          <w:rFonts w:ascii="Arial" w:cs="Arial" w:eastAsia="Arial" w:hAnsi="Arial"/>
          <w:sz w:val="16"/>
          <w:szCs w:val="16"/>
          <w:u w:val="single" w:color="auto"/>
          <w:color w:val="0000EE"/>
        </w:rPr>
      </w:pPr>
      <w:hyperlink w:anchor="page132">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132">
        <w:r>
          <w:rPr>
            <w:rFonts w:ascii="Arial" w:cs="Arial" w:eastAsia="Arial" w:hAnsi="Arial"/>
            <w:sz w:val="16"/>
            <w:szCs w:val="16"/>
            <w:u w:val="single" w:color="auto"/>
            <w:color w:val="0000EE"/>
          </w:rPr>
          <w:t>Certification of Chief Executive Officer pursuant to Section 906 of the Sarbanes-Oxley Act of 2002*</w:t>
        </w:r>
      </w:hyperlink>
    </w:p>
    <w:p>
      <w:pPr>
        <w:spacing w:after="0" w:line="90" w:lineRule="exact"/>
        <w:rPr>
          <w:sz w:val="20"/>
          <w:szCs w:val="20"/>
          <w:color w:val="auto"/>
        </w:rPr>
      </w:pPr>
    </w:p>
    <w:p>
      <w:pPr>
        <w:ind w:left="1440"/>
        <w:spacing w:after="0"/>
        <w:tabs>
          <w:tab w:leader="none" w:pos="2140" w:val="left"/>
        </w:tabs>
        <w:rPr>
          <w:rFonts w:ascii="Arial" w:cs="Arial" w:eastAsia="Arial" w:hAnsi="Arial"/>
          <w:sz w:val="16"/>
          <w:szCs w:val="16"/>
          <w:u w:val="single" w:color="auto"/>
          <w:color w:val="0000EE"/>
        </w:rPr>
      </w:pPr>
      <w:hyperlink w:anchor="page133">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133">
        <w:r>
          <w:rPr>
            <w:rFonts w:ascii="Arial" w:cs="Arial" w:eastAsia="Arial" w:hAnsi="Arial"/>
            <w:sz w:val="16"/>
            <w:szCs w:val="16"/>
            <w:u w:val="single" w:color="auto"/>
            <w:color w:val="0000EE"/>
          </w:rPr>
          <w:t>Certification of Chief Financial Officer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203200</wp:posOffset>
            </wp:positionV>
            <wp:extent cx="123444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620" w:hanging="358"/>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1620" w:right="679" w:hanging="358"/>
        <w:spacing w:after="0" w:line="277"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December 19, 2016.</w:t>
      </w:r>
    </w:p>
    <w:p>
      <w:pPr>
        <w:spacing w:after="0" w:line="21" w:lineRule="exact"/>
        <w:rPr>
          <w:rFonts w:ascii="Arial" w:cs="Arial" w:eastAsia="Arial" w:hAnsi="Arial"/>
          <w:sz w:val="18"/>
          <w:szCs w:val="18"/>
          <w:color w:val="auto"/>
        </w:rPr>
      </w:pPr>
    </w:p>
    <w:p>
      <w:pPr>
        <w:ind w:left="1620" w:right="679" w:hanging="358"/>
        <w:spacing w:after="0" w:line="277"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June 14, 2017.</w:t>
      </w:r>
    </w:p>
    <w:p>
      <w:pPr>
        <w:spacing w:after="0" w:line="21" w:lineRule="exact"/>
        <w:rPr>
          <w:rFonts w:ascii="Arial" w:cs="Arial" w:eastAsia="Arial" w:hAnsi="Arial"/>
          <w:sz w:val="18"/>
          <w:szCs w:val="18"/>
          <w:color w:val="auto"/>
        </w:rPr>
      </w:pPr>
    </w:p>
    <w:p>
      <w:pPr>
        <w:ind w:left="1620" w:right="679" w:hanging="358"/>
        <w:spacing w:after="0" w:line="277"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Quarterly Report on Form 10-Q filed with the SEC on August 10, 2017.</w:t>
      </w:r>
    </w:p>
    <w:p>
      <w:pPr>
        <w:spacing w:after="0" w:line="35" w:lineRule="exact"/>
        <w:rPr>
          <w:rFonts w:ascii="Arial" w:cs="Arial" w:eastAsia="Arial" w:hAnsi="Arial"/>
          <w:sz w:val="18"/>
          <w:szCs w:val="18"/>
          <w:color w:val="auto"/>
        </w:rPr>
      </w:pPr>
    </w:p>
    <w:p>
      <w:pPr>
        <w:ind w:left="1620" w:right="679" w:hanging="358"/>
        <w:spacing w:after="0" w:line="277"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10-K filed with the SEC on March 29, 2017.</w:t>
      </w:r>
    </w:p>
    <w:p>
      <w:pPr>
        <w:spacing w:after="0" w:line="21" w:lineRule="exact"/>
        <w:rPr>
          <w:rFonts w:ascii="Arial" w:cs="Arial" w:eastAsia="Arial" w:hAnsi="Arial"/>
          <w:sz w:val="18"/>
          <w:szCs w:val="18"/>
          <w:color w:val="auto"/>
        </w:rPr>
      </w:pPr>
    </w:p>
    <w:p>
      <w:pPr>
        <w:ind w:left="1620" w:right="679" w:hanging="358"/>
        <w:spacing w:after="0" w:line="277"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September 13, 2017.</w:t>
      </w:r>
    </w:p>
    <w:p>
      <w:pPr>
        <w:spacing w:after="0" w:line="21" w:lineRule="exact"/>
        <w:rPr>
          <w:rFonts w:ascii="Arial" w:cs="Arial" w:eastAsia="Arial" w:hAnsi="Arial"/>
          <w:sz w:val="18"/>
          <w:szCs w:val="18"/>
          <w:color w:val="auto"/>
        </w:rPr>
      </w:pPr>
    </w:p>
    <w:p>
      <w:pPr>
        <w:ind w:left="1620" w:right="679" w:hanging="358"/>
        <w:spacing w:after="0" w:line="277"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Registration Statement on Form 10 (File No. 000-55544) filed with the SEC on February 12, 2016.</w:t>
      </w:r>
    </w:p>
    <w:p>
      <w:pPr>
        <w:spacing w:after="0" w:line="35" w:lineRule="exact"/>
        <w:rPr>
          <w:rFonts w:ascii="Arial" w:cs="Arial" w:eastAsia="Arial" w:hAnsi="Arial"/>
          <w:sz w:val="18"/>
          <w:szCs w:val="18"/>
          <w:color w:val="auto"/>
        </w:rPr>
      </w:pPr>
    </w:p>
    <w:p>
      <w:pPr>
        <w:ind w:left="1620" w:right="679" w:hanging="358"/>
        <w:spacing w:after="0" w:line="277"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Quarterly Report on Form 10-Q filed with the SEC on November 9, 2017.</w:t>
      </w:r>
    </w:p>
    <w:p>
      <w:pPr>
        <w:spacing w:after="0" w:line="21" w:lineRule="exact"/>
        <w:rPr>
          <w:rFonts w:ascii="Arial" w:cs="Arial" w:eastAsia="Arial" w:hAnsi="Arial"/>
          <w:sz w:val="18"/>
          <w:szCs w:val="18"/>
          <w:color w:val="auto"/>
        </w:rPr>
      </w:pPr>
    </w:p>
    <w:p>
      <w:pPr>
        <w:ind w:left="1620" w:right="679" w:hanging="358"/>
        <w:spacing w:after="0" w:line="277"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December 28, 2018.</w:t>
      </w:r>
    </w:p>
    <w:p>
      <w:pPr>
        <w:spacing w:after="0" w:line="21" w:lineRule="exact"/>
        <w:rPr>
          <w:rFonts w:ascii="Arial" w:cs="Arial" w:eastAsia="Arial" w:hAnsi="Arial"/>
          <w:sz w:val="18"/>
          <w:szCs w:val="18"/>
          <w:color w:val="auto"/>
        </w:rPr>
      </w:pPr>
    </w:p>
    <w:p>
      <w:pPr>
        <w:ind w:left="1620" w:right="679" w:hanging="358"/>
        <w:spacing w:after="0" w:line="277"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10-K filed with the SEC on March 28, 2019.</w:t>
      </w:r>
    </w:p>
    <w:p>
      <w:pPr>
        <w:spacing w:after="0" w:line="35" w:lineRule="exact"/>
        <w:rPr>
          <w:rFonts w:ascii="Arial" w:cs="Arial" w:eastAsia="Arial" w:hAnsi="Arial"/>
          <w:sz w:val="18"/>
          <w:szCs w:val="18"/>
          <w:color w:val="auto"/>
        </w:rPr>
      </w:pPr>
    </w:p>
    <w:p>
      <w:pPr>
        <w:ind w:left="1620" w:right="679" w:hanging="358"/>
        <w:spacing w:after="0" w:line="277"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Previously filed as an exhibit to to the Registrant’s Current Report on Form 8-K filed with the SEC on June 6, 2019.</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679" w:firstLine="360"/>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RUNWAY GROWTH CREDIT FUND INC.</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Date: March 19, 2020</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40640</wp:posOffset>
            </wp:positionV>
            <wp:extent cx="24688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 David Spreng</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27" w:lineRule="exact"/>
        <w:rPr>
          <w:sz w:val="20"/>
          <w:szCs w:val="20"/>
          <w:color w:val="auto"/>
        </w:rPr>
      </w:pPr>
    </w:p>
    <w:p>
      <w:pPr>
        <w:ind w:left="1260" w:right="679" w:firstLine="360"/>
        <w:spacing w:after="0" w:line="30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139"/>
          </w:cols>
          <w:pgMar w:left="320" w:top="131" w:right="1440" w:bottom="1440" w:gutter="0" w:footer="0" w:header="0"/>
        </w:sectPr>
      </w:pPr>
    </w:p>
    <w:p>
      <w:pPr>
        <w:spacing w:after="0" w:line="187"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Date: March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Date: March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Date: March 19, 2020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Date: March 19, 2020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Date: March 19, 2020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Date: March 19, 2020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By: /s/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23495</wp:posOffset>
            </wp:positionV>
            <wp:extent cx="31546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 David Spreng</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23495</wp:posOffset>
            </wp:positionV>
            <wp:extent cx="31546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Thomas B. Raterman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Chief Financial Officer, Treasurer and Secretary</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and Accounting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 Gary Kovacs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23495</wp:posOffset>
            </wp:positionV>
            <wp:extent cx="31546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Gary Kovacs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 Brian Laibow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23495</wp:posOffset>
            </wp:positionV>
            <wp:extent cx="31546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Brian Laibow</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 Julie Persily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23495</wp:posOffset>
            </wp:positionV>
            <wp:extent cx="31546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Julie Persily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 Lewis W. Solimene,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23495</wp:posOffset>
            </wp:positionV>
            <wp:extent cx="31546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Lewis W. Solimene, Jr.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3420" w:space="720"/>
            <w:col w:w="59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680656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3" w:name="page124"/>
    <w:bookmarkEnd w:id="123"/>
    <w:p>
      <w:pPr>
        <w:jc w:val="right"/>
        <w:ind w:right="659"/>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DESCRIPTION OF SECURITIES</w:t>
      </w:r>
    </w:p>
    <w:p>
      <w:pPr>
        <w:spacing w:after="0" w:line="148" w:lineRule="exact"/>
        <w:rPr>
          <w:sz w:val="20"/>
          <w:szCs w:val="20"/>
          <w:color w:val="auto"/>
        </w:rPr>
      </w:pPr>
    </w:p>
    <w:p>
      <w:pPr>
        <w:jc w:val="both"/>
        <w:ind w:left="140" w:right="679" w:firstLine="360"/>
        <w:spacing w:after="0" w:line="254" w:lineRule="auto"/>
        <w:rPr>
          <w:sz w:val="20"/>
          <w:szCs w:val="20"/>
          <w:color w:val="auto"/>
        </w:rPr>
      </w:pPr>
      <w:r>
        <w:rPr>
          <w:rFonts w:ascii="Arial" w:cs="Arial" w:eastAsia="Arial" w:hAnsi="Arial"/>
          <w:sz w:val="18"/>
          <w:szCs w:val="18"/>
          <w:color w:val="auto"/>
        </w:rPr>
        <w:t>The following is a brief description of the securities of Runway Growth Credit Fund Inc. (the “Company,” “we,” “our” or “us”) registered pursuant to Section 12 of the Securities Exchange Act of 1934, as amended (the “Exchange Act”). This description of the terms of our shares of common stock, par value $0.01 (“Shares,” each a “Share”) does not purport to be complete and is subject to and qualified in its entirety by reference to the applicable provisions of Maryland General Corporation Law (“MGCL”), and the full text of our charter and bylaws. As of December 31, 2019 and the date hereof, our common stock is the only class of our securities registered under Section 12 of the Exchange Act.</w:t>
      </w:r>
    </w:p>
    <w:p>
      <w:pPr>
        <w:spacing w:after="0" w:line="19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Stock</w:t>
      </w:r>
    </w:p>
    <w:p>
      <w:pPr>
        <w:spacing w:after="0" w:line="162" w:lineRule="exact"/>
        <w:rPr>
          <w:sz w:val="20"/>
          <w:szCs w:val="20"/>
          <w:color w:val="auto"/>
        </w:rPr>
      </w:pPr>
    </w:p>
    <w:p>
      <w:pPr>
        <w:jc w:val="both"/>
        <w:ind w:left="140" w:right="679" w:firstLine="360"/>
        <w:spacing w:after="0" w:line="259" w:lineRule="auto"/>
        <w:rPr>
          <w:sz w:val="20"/>
          <w:szCs w:val="20"/>
          <w:color w:val="auto"/>
        </w:rPr>
      </w:pPr>
      <w:r>
        <w:rPr>
          <w:rFonts w:ascii="Arial" w:cs="Arial" w:eastAsia="Arial" w:hAnsi="Arial"/>
          <w:sz w:val="18"/>
          <w:szCs w:val="18"/>
          <w:color w:val="auto"/>
        </w:rPr>
        <w:t>Our authorized stock consists of 100,000,000 shares, par value $0.01 per share, all of which are initially designated as common stock.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our outstanding classes of securities as of March 19, 2020:</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r>
      <w:tr>
        <w:trPr>
          <w:trHeight w:val="162"/>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ind w:left="340"/>
              <w:spacing w:after="0"/>
              <w:rPr>
                <w:sz w:val="20"/>
                <w:szCs w:val="20"/>
                <w:color w:val="auto"/>
              </w:rPr>
            </w:pPr>
            <w:r>
              <w:rPr>
                <w:rFonts w:ascii="Arial" w:cs="Arial" w:eastAsia="Arial" w:hAnsi="Arial"/>
                <w:sz w:val="14"/>
                <w:szCs w:val="14"/>
                <w:b w:val="1"/>
                <w:bCs w:val="1"/>
                <w:color w:val="auto"/>
              </w:rPr>
              <w:t>(3)</w:t>
            </w: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r>
      <w:tr>
        <w:trPr>
          <w:trHeight w:val="162"/>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Amount Held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r>
      <w:tr>
        <w:trPr>
          <w:trHeight w:val="162"/>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2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by</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Exclusive of</w:t>
            </w:r>
          </w:p>
        </w:tc>
      </w:tr>
      <w:tr>
        <w:trPr>
          <w:trHeight w:val="158"/>
        </w:trPr>
        <w:tc>
          <w:tcPr>
            <w:tcW w:w="3340" w:type="dxa"/>
            <w:vAlign w:val="bottom"/>
          </w:tcPr>
          <w:p>
            <w:pPr>
              <w:spacing w:after="0" w:line="158" w:lineRule="exact"/>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3"/>
                <w:szCs w:val="13"/>
                <w:color w:val="auto"/>
              </w:rPr>
            </w:pPr>
          </w:p>
        </w:tc>
        <w:tc>
          <w:tcPr>
            <w:tcW w:w="11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Us or for</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Amounts Shown</w:t>
            </w:r>
          </w:p>
        </w:tc>
      </w:tr>
      <w:tr>
        <w:trPr>
          <w:trHeight w:val="229"/>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Class</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Our Account</w:t>
            </w: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90"/>
              </w:rPr>
              <w:t>Under</w:t>
            </w:r>
            <w:r>
              <w:rPr>
                <w:rFonts w:ascii="Arial" w:cs="Arial" w:eastAsia="Arial" w:hAnsi="Arial"/>
                <w:sz w:val="21"/>
                <w:szCs w:val="21"/>
                <w:b w:val="1"/>
                <w:bCs w:val="1"/>
                <w:color w:val="auto"/>
                <w:w w:val="90"/>
                <w:vertAlign w:val="superscript"/>
              </w:rPr>
              <w:t>(3)</w:t>
            </w:r>
          </w:p>
        </w:tc>
      </w:tr>
      <w:tr>
        <w:trPr>
          <w:trHeight w:val="25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100,000,000</w:t>
            </w:r>
          </w:p>
        </w:tc>
        <w:tc>
          <w:tcPr>
            <w:tcW w:w="1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25,811,214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-170815</wp:posOffset>
            </wp:positionV>
            <wp:extent cx="13716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-170815</wp:posOffset>
            </wp:positionV>
            <wp:extent cx="13716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-170815</wp:posOffset>
            </wp:positionV>
            <wp:extent cx="13716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4" w:lineRule="exact"/>
        <w:rPr>
          <w:sz w:val="20"/>
          <w:szCs w:val="20"/>
          <w:color w:val="auto"/>
        </w:rPr>
      </w:pPr>
    </w:p>
    <w:p>
      <w:pPr>
        <w:jc w:val="both"/>
        <w:ind w:left="140" w:right="679" w:firstLine="360"/>
        <w:spacing w:after="0" w:line="296" w:lineRule="auto"/>
        <w:rPr>
          <w:sz w:val="20"/>
          <w:szCs w:val="20"/>
          <w:color w:val="auto"/>
        </w:rPr>
      </w:pPr>
      <w:r>
        <w:rPr>
          <w:rFonts w:ascii="Arial" w:cs="Arial" w:eastAsia="Arial" w:hAnsi="Arial"/>
          <w:sz w:val="16"/>
          <w:szCs w:val="16"/>
          <w:color w:val="auto"/>
        </w:rPr>
        <w:t>Under our charter, the Company’s board of directors (the “Board of Directors”) is authorized to classify and reclassify any unissued shares of stock into other classes or series of stock without obtaining stockholder approval. As permitted by the MGCL,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jc w:val="both"/>
        <w:ind w:left="140" w:right="679" w:firstLine="360"/>
        <w:spacing w:after="0" w:line="268" w:lineRule="auto"/>
        <w:rPr>
          <w:sz w:val="20"/>
          <w:szCs w:val="20"/>
          <w:color w:val="auto"/>
        </w:rPr>
      </w:pPr>
      <w:r>
        <w:rPr>
          <w:rFonts w:ascii="Arial" w:cs="Arial" w:eastAsia="Arial" w:hAnsi="Arial"/>
          <w:sz w:val="17"/>
          <w:szCs w:val="17"/>
          <w:color w:val="auto"/>
        </w:rPr>
        <w:t>All shares of our common stock have equal rights as to earnings, assets, voting, and dividends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48" w:lineRule="exact"/>
        <w:rPr>
          <w:sz w:val="20"/>
          <w:szCs w:val="20"/>
          <w:color w:val="auto"/>
        </w:rPr>
      </w:pPr>
    </w:p>
    <w:p>
      <w:pPr>
        <w:jc w:val="both"/>
        <w:ind w:left="140" w:right="679" w:firstLine="360"/>
        <w:spacing w:after="0" w:line="279" w:lineRule="auto"/>
        <w:rPr>
          <w:sz w:val="20"/>
          <w:szCs w:val="20"/>
          <w:color w:val="auto"/>
        </w:rPr>
      </w:pPr>
      <w:r>
        <w:rPr>
          <w:rFonts w:ascii="Arial" w:cs="Arial" w:eastAsia="Arial" w:hAnsi="Arial"/>
          <w:sz w:val="17"/>
          <w:szCs w:val="17"/>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w:t>
      </w:r>
    </w:p>
    <w:p>
      <w:pPr>
        <w:spacing w:after="0" w:line="36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24" w:name="page125"/>
    <w:bookmarkEnd w:id="124"/>
    <w:p>
      <w:pPr>
        <w:jc w:val="both"/>
        <w:ind w:left="140" w:right="679"/>
        <w:spacing w:after="0" w:line="263" w:lineRule="auto"/>
        <w:rPr>
          <w:sz w:val="20"/>
          <w:szCs w:val="20"/>
          <w:color w:val="auto"/>
        </w:rPr>
      </w:pPr>
      <w:r>
        <w:rPr>
          <w:rFonts w:ascii="Arial" w:cs="Arial" w:eastAsia="Arial" w:hAnsi="Arial"/>
          <w:sz w:val="18"/>
          <w:szCs w:val="18"/>
          <w:color w:val="auto"/>
        </w:rPr>
        <w:t>contains such a provision which eliminates directors’ and officers’ liability to the maximum extent permitted by Maryland law, subject to the requirements of the Investment Company Act of 1940, as amended (the “1940 Act”).</w:t>
      </w:r>
    </w:p>
    <w:p>
      <w:pPr>
        <w:spacing w:after="0" w:line="103" w:lineRule="exact"/>
        <w:rPr>
          <w:sz w:val="20"/>
          <w:szCs w:val="20"/>
          <w:color w:val="auto"/>
        </w:rPr>
      </w:pPr>
    </w:p>
    <w:p>
      <w:pPr>
        <w:jc w:val="both"/>
        <w:ind w:left="140" w:right="679" w:firstLine="360"/>
        <w:spacing w:after="0" w:line="28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limited liability company, partnership, joint venture, trust, employee benefit plan or other enterprise as a director, officer, partner, trustee, member or manager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limited liability company, partnership, joint venture, trust, employee benefit plan or other enterprise as a director, officer, partner, trustee, member or manager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14" w:lineRule="exact"/>
        <w:rPr>
          <w:sz w:val="20"/>
          <w:szCs w:val="20"/>
          <w:color w:val="auto"/>
        </w:rPr>
      </w:pPr>
    </w:p>
    <w:p>
      <w:pPr>
        <w:jc w:val="both"/>
        <w:ind w:left="140" w:right="659" w:firstLine="360"/>
        <w:spacing w:after="0" w:line="267"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1" w:lineRule="exact"/>
        <w:rPr>
          <w:sz w:val="20"/>
          <w:szCs w:val="20"/>
          <w:color w:val="auto"/>
        </w:rPr>
      </w:pPr>
    </w:p>
    <w:p>
      <w:pPr>
        <w:jc w:val="both"/>
        <w:ind w:left="140" w:right="679" w:firstLine="360"/>
        <w:spacing w:after="0" w:line="263" w:lineRule="auto"/>
        <w:rPr>
          <w:sz w:val="20"/>
          <w:szCs w:val="20"/>
          <w:color w:val="auto"/>
        </w:rPr>
      </w:pPr>
      <w:r>
        <w:rPr>
          <w:rFonts w:ascii="Arial" w:cs="Arial" w:eastAsia="Arial" w:hAnsi="Arial"/>
          <w:sz w:val="18"/>
          <w:szCs w:val="18"/>
          <w:color w:val="auto"/>
        </w:rPr>
        <w:t>We have entered into indemnification agreements with our directors and executive officers. The indemnification agreements provide our directors and executive officers the maximum indemnification permitted under Maryland law and the 1940 Act.</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Certain Provisions of the Maryland General Corporation Law and Our Charter and Bylaws</w:t>
      </w:r>
    </w:p>
    <w:p>
      <w:pPr>
        <w:spacing w:after="0" w:line="148" w:lineRule="exact"/>
        <w:rPr>
          <w:sz w:val="20"/>
          <w:szCs w:val="20"/>
          <w:color w:val="auto"/>
        </w:rPr>
      </w:pPr>
    </w:p>
    <w:p>
      <w:pPr>
        <w:jc w:val="both"/>
        <w:ind w:left="140" w:right="679" w:firstLine="360"/>
        <w:spacing w:after="0" w:line="301" w:lineRule="auto"/>
        <w:rPr>
          <w:sz w:val="20"/>
          <w:szCs w:val="20"/>
          <w:color w:val="auto"/>
        </w:rPr>
      </w:pPr>
      <w:r>
        <w:rPr>
          <w:rFonts w:ascii="Arial" w:cs="Arial" w:eastAsia="Arial" w:hAnsi="Arial"/>
          <w:sz w:val="16"/>
          <w:szCs w:val="16"/>
          <w:color w:val="auto"/>
        </w:rPr>
        <w:t>The MGCL and our charter and bylaws contain provisions that could make it more difficult for a potential acquirer to acquire us by means of a tender offer, proxy contest or otherwise, the material ones of which are discussed below. These provisions are expected to discourage certain coercive takeover practices and inadequate takeover bids and to encourage persons seeking to acquire control of us to negotiate first with our</w:t>
      </w:r>
    </w:p>
    <w:p>
      <w:pPr>
        <w:spacing w:after="0" w:line="34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5" w:name="page126"/>
    <w:bookmarkEnd w:id="125"/>
    <w:p>
      <w:pPr>
        <w:jc w:val="both"/>
        <w:ind w:left="140" w:right="679"/>
        <w:spacing w:after="0" w:line="248" w:lineRule="auto"/>
        <w:rPr>
          <w:sz w:val="20"/>
          <w:szCs w:val="20"/>
          <w:color w:val="auto"/>
        </w:rPr>
      </w:pPr>
      <w:r>
        <w:rPr>
          <w:rFonts w:ascii="Arial" w:cs="Arial" w:eastAsia="Arial" w:hAnsi="Arial"/>
          <w:sz w:val="18"/>
          <w:szCs w:val="18"/>
          <w:color w:val="auto"/>
        </w:rPr>
        <w:t>Board of Directors. We expect the benefits of these provisions to outweigh the potential disadvantages of discouraging any such acquisition proposals because, among other things, the negotiation of such proposals may improve their terms.</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44" w:lineRule="exact"/>
        <w:rPr>
          <w:sz w:val="20"/>
          <w:szCs w:val="20"/>
          <w:color w:val="auto"/>
        </w:rPr>
      </w:pPr>
    </w:p>
    <w:p>
      <w:pPr>
        <w:jc w:val="both"/>
        <w:ind w:left="140" w:right="679" w:firstLine="360"/>
        <w:spacing w:after="0" w:line="276"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Upon expiration of their terms, directors of each class will be elected to serve for three-year terms and until their successors are duly elected and qualify, and each year one class of directors will be elected by the stockholders. A classified Board of Directors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58" w:lineRule="exact"/>
        <w:rPr>
          <w:sz w:val="20"/>
          <w:szCs w:val="20"/>
          <w:color w:val="auto"/>
        </w:rPr>
      </w:pPr>
    </w:p>
    <w:p>
      <w:pPr>
        <w:jc w:val="both"/>
        <w:ind w:left="140" w:right="679" w:firstLine="360"/>
        <w:spacing w:after="0" w:line="262" w:lineRule="auto"/>
        <w:rPr>
          <w:sz w:val="20"/>
          <w:szCs w:val="20"/>
          <w:color w:val="auto"/>
        </w:rPr>
      </w:pPr>
      <w:r>
        <w:rPr>
          <w:rFonts w:ascii="Arial" w:cs="Arial" w:eastAsia="Arial" w:hAnsi="Arial"/>
          <w:sz w:val="17"/>
          <w:szCs w:val="17"/>
          <w:color w:val="auto"/>
        </w:rPr>
        <w:t>Our bylaws, as authorized by our charter, provide that the affirmative vote of the holders of a plurality of the outstanding shares of stock entitled to vote in the election of directors cast at a meeting of stockholders duly called, and at which a quorum is present, will be required to elect a director. Pursuant to our charter our Board of Directors may amend the bylaws to alter the vote required to elect directors.</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58" w:lineRule="exact"/>
        <w:rPr>
          <w:sz w:val="20"/>
          <w:szCs w:val="20"/>
          <w:color w:val="auto"/>
        </w:rPr>
      </w:pPr>
    </w:p>
    <w:p>
      <w:pPr>
        <w:jc w:val="both"/>
        <w:ind w:left="140" w:right="679" w:firstLine="360"/>
        <w:spacing w:after="0" w:line="252"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nine. Our charter provides that, at such time as we have at least three independent directors and our common stock is registered under the Exchange Act, as amended, we elect to be subject to the provision of Subtitle 8 of Title 3 of the MGCL regarding the filling of vacancies on the Board of Directors. Accordingly, at such time,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02" w:lineRule="exact"/>
        <w:rPr>
          <w:sz w:val="20"/>
          <w:szCs w:val="20"/>
          <w:color w:val="auto"/>
        </w:rPr>
      </w:pPr>
    </w:p>
    <w:p>
      <w:pPr>
        <w:jc w:val="both"/>
        <w:ind w:left="140" w:right="679" w:firstLine="360"/>
        <w:spacing w:after="0" w:line="291" w:lineRule="auto"/>
        <w:rPr>
          <w:sz w:val="20"/>
          <w:szCs w:val="20"/>
          <w:color w:val="auto"/>
        </w:rPr>
      </w:pPr>
      <w:r>
        <w:rPr>
          <w:rFonts w:ascii="Arial" w:cs="Arial" w:eastAsia="Arial" w:hAnsi="Arial"/>
          <w:sz w:val="17"/>
          <w:szCs w:val="17"/>
          <w:color w:val="auto"/>
        </w:rPr>
        <w:t>Our charter provides that a director may be removed only for cause, as defined in our charter, and then only by the affirmative vote of at least two-thirds of the votes entitled to be cast in the election of directors.</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58" w:lineRule="exact"/>
        <w:rPr>
          <w:sz w:val="20"/>
          <w:szCs w:val="20"/>
          <w:color w:val="auto"/>
        </w:rPr>
      </w:pPr>
    </w:p>
    <w:p>
      <w:pPr>
        <w:jc w:val="both"/>
        <w:ind w:left="140" w:right="679" w:firstLine="360"/>
        <w:spacing w:after="0" w:line="279" w:lineRule="auto"/>
        <w:rPr>
          <w:sz w:val="20"/>
          <w:szCs w:val="20"/>
          <w:color w:val="auto"/>
        </w:rPr>
      </w:pPr>
      <w:r>
        <w:rPr>
          <w:rFonts w:ascii="Arial" w:cs="Arial" w:eastAsia="Arial" w:hAnsi="Arial"/>
          <w:sz w:val="16"/>
          <w:szCs w:val="16"/>
          <w:color w:val="auto"/>
        </w:rPr>
        <w:t>Under the MGCL,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5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58" w:lineRule="exact"/>
        <w:rPr>
          <w:sz w:val="20"/>
          <w:szCs w:val="20"/>
          <w:color w:val="auto"/>
        </w:rPr>
      </w:pPr>
    </w:p>
    <w:p>
      <w:pPr>
        <w:jc w:val="both"/>
        <w:ind w:left="140" w:right="679" w:firstLine="360"/>
        <w:spacing w:after="0" w:line="271"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of the Company who is a stockholder of record both at the time of giving of notice provided for in our bylaws and at the time of the annual meeting, who is entitled to vote at the meeting and who has complied with the advance notice provisions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Board of Directors has determined that directors will be</w:t>
      </w:r>
    </w:p>
    <w:p>
      <w:pPr>
        <w:spacing w:after="0" w:line="344"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6" w:name="page127"/>
    <w:bookmarkEnd w:id="126"/>
    <w:p>
      <w:pPr>
        <w:jc w:val="both"/>
        <w:ind w:left="140" w:right="679"/>
        <w:spacing w:after="0" w:line="248" w:lineRule="auto"/>
        <w:rPr>
          <w:sz w:val="20"/>
          <w:szCs w:val="20"/>
          <w:color w:val="auto"/>
        </w:rPr>
      </w:pPr>
      <w:r>
        <w:rPr>
          <w:rFonts w:ascii="Arial" w:cs="Arial" w:eastAsia="Arial" w:hAnsi="Arial"/>
          <w:sz w:val="18"/>
          <w:szCs w:val="18"/>
          <w:color w:val="auto"/>
        </w:rPr>
        <w:t>elected at the meeting, by a stockholder of the Company who is a stockholder of record both at the time of giving of notice provided for in our bylaws and at the time of the special meeting, who is entitled to vote at the meeting and who has complied with the advance notice provisions of the bylaws.</w:t>
      </w:r>
    </w:p>
    <w:p>
      <w:pPr>
        <w:spacing w:after="0" w:line="101" w:lineRule="exact"/>
        <w:rPr>
          <w:sz w:val="20"/>
          <w:szCs w:val="20"/>
          <w:color w:val="auto"/>
        </w:rPr>
      </w:pPr>
    </w:p>
    <w:p>
      <w:pPr>
        <w:jc w:val="both"/>
        <w:ind w:left="140" w:right="679" w:firstLine="360"/>
        <w:spacing w:after="0" w:line="252"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58" w:lineRule="exact"/>
        <w:rPr>
          <w:sz w:val="20"/>
          <w:szCs w:val="20"/>
          <w:color w:val="auto"/>
        </w:rPr>
      </w:pPr>
    </w:p>
    <w:p>
      <w:pPr>
        <w:jc w:val="both"/>
        <w:ind w:left="140" w:right="679" w:firstLine="360"/>
        <w:spacing w:after="0" w:line="241"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58" w:lineRule="exact"/>
        <w:rPr>
          <w:sz w:val="20"/>
          <w:szCs w:val="20"/>
          <w:color w:val="auto"/>
        </w:rPr>
      </w:pPr>
    </w:p>
    <w:p>
      <w:pPr>
        <w:jc w:val="both"/>
        <w:ind w:left="140" w:right="659" w:firstLine="360"/>
        <w:spacing w:after="0" w:line="265"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(1) our current directors, (2) those directors whose nomination for election by the stockholders or whose election by the directors to fill vacancies is approved by a majority of our current directors then on the Board of Directors or</w:t>
      </w:r>
    </w:p>
    <w:p>
      <w:pPr>
        <w:spacing w:after="0" w:line="6" w:lineRule="exact"/>
        <w:rPr>
          <w:sz w:val="20"/>
          <w:szCs w:val="20"/>
          <w:color w:val="auto"/>
        </w:rPr>
      </w:pPr>
    </w:p>
    <w:p>
      <w:pPr>
        <w:jc w:val="both"/>
        <w:ind w:left="140" w:right="679" w:firstLine="2"/>
        <w:spacing w:after="0" w:line="239" w:lineRule="auto"/>
        <w:tabs>
          <w:tab w:leader="none" w:pos="402"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successor directors whose nomination for election by the stockholders or whose election by the directors to fill vacancies is approved by a majority of continuing directors or the successor continuing directors then in office.</w:t>
      </w:r>
    </w:p>
    <w:p>
      <w:pPr>
        <w:spacing w:after="0" w:line="108" w:lineRule="exact"/>
        <w:rPr>
          <w:sz w:val="20"/>
          <w:szCs w:val="20"/>
          <w:color w:val="auto"/>
        </w:rPr>
      </w:pPr>
    </w:p>
    <w:p>
      <w:pPr>
        <w:jc w:val="both"/>
        <w:ind w:left="140" w:right="679" w:firstLine="360"/>
        <w:spacing w:after="0" w:line="261" w:lineRule="auto"/>
        <w:rPr>
          <w:sz w:val="20"/>
          <w:szCs w:val="20"/>
          <w:color w:val="auto"/>
        </w:rPr>
      </w:pPr>
      <w:r>
        <w:rPr>
          <w:rFonts w:ascii="Arial" w:cs="Arial" w:eastAsia="Arial" w:hAnsi="Arial"/>
          <w:sz w:val="18"/>
          <w:szCs w:val="18"/>
          <w:color w:val="auto"/>
        </w:rPr>
        <w:t>Our charter and bylaws provide that the Board of Directors will have the exclusive power to make, alter, amend or repeal any provision of our bylaws.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58" w:lineRule="exact"/>
        <w:rPr>
          <w:sz w:val="20"/>
          <w:szCs w:val="20"/>
          <w:color w:val="auto"/>
        </w:rPr>
      </w:pPr>
    </w:p>
    <w:p>
      <w:pPr>
        <w:jc w:val="both"/>
        <w:ind w:left="140" w:right="679" w:firstLine="360"/>
        <w:spacing w:after="0" w:line="248" w:lineRule="auto"/>
        <w:rPr>
          <w:sz w:val="20"/>
          <w:szCs w:val="20"/>
          <w:color w:val="auto"/>
        </w:rPr>
      </w:pPr>
      <w:r>
        <w:rPr>
          <w:rFonts w:ascii="Arial" w:cs="Arial" w:eastAsia="Arial" w:hAnsi="Arial"/>
          <w:sz w:val="18"/>
          <w:szCs w:val="18"/>
          <w:color w:val="auto"/>
        </w:rPr>
        <w:t>Except with respect to appraisal rights arising in connection with the Control Share Act discussed below, as permitted by the MGCL, our charter provides that stockholders will not be entitled to exercise appraisal rights unless a majority of the Board of Directors shall determine such rights apply.</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58" w:lineRule="exact"/>
        <w:rPr>
          <w:sz w:val="20"/>
          <w:szCs w:val="20"/>
          <w:color w:val="auto"/>
        </w:rPr>
      </w:pPr>
    </w:p>
    <w:p>
      <w:pPr>
        <w:jc w:val="both"/>
        <w:ind w:left="140" w:right="679" w:firstLine="360"/>
        <w:spacing w:after="0" w:line="291" w:lineRule="auto"/>
        <w:rPr>
          <w:sz w:val="20"/>
          <w:szCs w:val="20"/>
          <w:color w:val="auto"/>
        </w:rPr>
      </w:pPr>
      <w:r>
        <w:rPr>
          <w:rFonts w:ascii="Arial" w:cs="Arial" w:eastAsia="Arial" w:hAnsi="Arial"/>
          <w:sz w:val="17"/>
          <w:szCs w:val="17"/>
          <w:color w:val="auto"/>
        </w:rPr>
        <w:t>The MGCL provides that control shares of a Maryland corporation acquired in a control share acquisition have no voting rights except to the extent approved by a vote of two-thirds of the votes entitled to</w:t>
      </w:r>
    </w:p>
    <w:p>
      <w:pPr>
        <w:spacing w:after="0" w:line="32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7" w:name="page128"/>
    <w:bookmarkEnd w:id="127"/>
    <w:p>
      <w:pPr>
        <w:jc w:val="both"/>
        <w:ind w:left="140" w:right="679"/>
        <w:spacing w:after="0"/>
        <w:rPr>
          <w:sz w:val="20"/>
          <w:szCs w:val="20"/>
          <w:color w:val="auto"/>
        </w:rPr>
      </w:pPr>
      <w:r>
        <w:rPr>
          <w:rFonts w:ascii="Arial" w:cs="Arial" w:eastAsia="Arial" w:hAnsi="Arial"/>
          <w:sz w:val="18"/>
          <w:szCs w:val="18"/>
          <w:color w:val="auto"/>
        </w:rPr>
        <w:t>be cast on the matter (the “Control Share Act”).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81" w:lineRule="exact"/>
        <w:rPr>
          <w:sz w:val="20"/>
          <w:szCs w:val="20"/>
          <w:color w:val="auto"/>
        </w:rPr>
      </w:pPr>
    </w:p>
    <w:p>
      <w:pPr>
        <w:ind w:left="680" w:hanging="178"/>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03" w:lineRule="exact"/>
        <w:rPr>
          <w:rFonts w:ascii="Arial" w:cs="Arial" w:eastAsia="Arial" w:hAnsi="Arial"/>
          <w:sz w:val="18"/>
          <w:szCs w:val="18"/>
          <w:color w:val="auto"/>
        </w:rPr>
      </w:pPr>
    </w:p>
    <w:p>
      <w:pPr>
        <w:ind w:left="680" w:hanging="178"/>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17" w:lineRule="exact"/>
        <w:rPr>
          <w:rFonts w:ascii="Arial" w:cs="Arial" w:eastAsia="Arial" w:hAnsi="Arial"/>
          <w:sz w:val="18"/>
          <w:szCs w:val="18"/>
          <w:color w:val="auto"/>
        </w:rPr>
      </w:pPr>
    </w:p>
    <w:p>
      <w:pPr>
        <w:ind w:left="680" w:hanging="178"/>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58" w:lineRule="exact"/>
        <w:rPr>
          <w:sz w:val="20"/>
          <w:szCs w:val="20"/>
          <w:color w:val="auto"/>
        </w:rPr>
      </w:pPr>
    </w:p>
    <w:p>
      <w:pPr>
        <w:jc w:val="both"/>
        <w:ind w:left="140" w:right="679" w:firstLine="360"/>
        <w:spacing w:after="0" w:line="243"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20" w:lineRule="exact"/>
        <w:rPr>
          <w:sz w:val="20"/>
          <w:szCs w:val="20"/>
          <w:color w:val="auto"/>
        </w:rPr>
      </w:pPr>
    </w:p>
    <w:p>
      <w:pPr>
        <w:jc w:val="both"/>
        <w:ind w:left="140" w:right="679" w:firstLine="360"/>
        <w:spacing w:after="0" w:line="259" w:lineRule="auto"/>
        <w:rPr>
          <w:sz w:val="20"/>
          <w:szCs w:val="20"/>
          <w:color w:val="auto"/>
        </w:rPr>
      </w:pPr>
      <w:r>
        <w:rPr>
          <w:rFonts w:ascii="Arial" w:cs="Arial" w:eastAsia="Arial" w:hAnsi="Arial"/>
          <w:sz w:val="17"/>
          <w:szCs w:val="17"/>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93" w:lineRule="exact"/>
        <w:rPr>
          <w:sz w:val="20"/>
          <w:szCs w:val="20"/>
          <w:color w:val="auto"/>
        </w:rPr>
      </w:pPr>
    </w:p>
    <w:p>
      <w:pPr>
        <w:jc w:val="both"/>
        <w:ind w:left="140" w:right="679" w:firstLine="360"/>
        <w:spacing w:after="0" w:line="252" w:lineRule="auto"/>
        <w:rPr>
          <w:sz w:val="20"/>
          <w:szCs w:val="20"/>
          <w:color w:val="auto"/>
        </w:rPr>
      </w:pPr>
      <w:r>
        <w:rPr>
          <w:rFonts w:ascii="Arial" w:cs="Arial" w:eastAsia="Arial" w:hAnsi="Arial"/>
          <w:sz w:val="17"/>
          <w:szCs w:val="17"/>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jc w:val="both"/>
        <w:ind w:left="140" w:right="679" w:firstLine="360"/>
        <w:spacing w:after="0" w:line="274" w:lineRule="auto"/>
        <w:rPr>
          <w:sz w:val="20"/>
          <w:szCs w:val="20"/>
          <w:color w:val="auto"/>
        </w:rPr>
      </w:pPr>
      <w:r>
        <w:rPr>
          <w:rFonts w:ascii="Arial" w:cs="Arial" w:eastAsia="Arial" w:hAnsi="Arial"/>
          <w:sz w:val="16"/>
          <w:szCs w:val="16"/>
          <w:color w:val="auto"/>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and if the SEC staff does not object to our determination that our being subject to the Control Share Act does not conflict with the 1940 Act.</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8" w:lineRule="exact"/>
        <w:rPr>
          <w:sz w:val="20"/>
          <w:szCs w:val="20"/>
          <w:color w:val="auto"/>
        </w:rPr>
      </w:pPr>
    </w:p>
    <w:p>
      <w:pPr>
        <w:jc w:val="both"/>
        <w:ind w:left="140" w:right="679" w:firstLine="360"/>
        <w:spacing w:after="0"/>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68" w:lineRule="exact"/>
        <w:rPr>
          <w:sz w:val="20"/>
          <w:szCs w:val="20"/>
          <w:color w:val="auto"/>
        </w:rPr>
      </w:pPr>
    </w:p>
    <w:p>
      <w:pPr>
        <w:ind w:left="680" w:right="679" w:hanging="178"/>
        <w:spacing w:after="0" w:line="277" w:lineRule="auto"/>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outstanding voting stock; or</w:t>
      </w:r>
    </w:p>
    <w:p>
      <w:pPr>
        <w:spacing w:after="0" w:line="62" w:lineRule="exact"/>
        <w:rPr>
          <w:rFonts w:ascii="Arial" w:cs="Arial" w:eastAsia="Arial" w:hAnsi="Arial"/>
          <w:sz w:val="18"/>
          <w:szCs w:val="18"/>
          <w:color w:val="auto"/>
        </w:rPr>
      </w:pPr>
    </w:p>
    <w:p>
      <w:pPr>
        <w:jc w:val="both"/>
        <w:ind w:left="680" w:right="679" w:hanging="178"/>
        <w:spacing w:after="0" w:line="263" w:lineRule="auto"/>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37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8" w:name="page129"/>
    <w:bookmarkEnd w:id="128"/>
    <w:p>
      <w:pPr>
        <w:jc w:val="both"/>
        <w:ind w:left="140" w:right="679" w:firstLine="360"/>
        <w:spacing w:after="0" w:line="284" w:lineRule="auto"/>
        <w:rPr>
          <w:sz w:val="20"/>
          <w:szCs w:val="20"/>
          <w:color w:val="auto"/>
        </w:rPr>
      </w:pPr>
      <w:r>
        <w:rPr>
          <w:rFonts w:ascii="Arial" w:cs="Arial" w:eastAsia="Arial" w:hAnsi="Arial"/>
          <w:sz w:val="16"/>
          <w:szCs w:val="16"/>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 of Directors.</w:t>
      </w:r>
    </w:p>
    <w:p>
      <w:pPr>
        <w:spacing w:after="0" w:line="74" w:lineRule="exact"/>
        <w:rPr>
          <w:sz w:val="20"/>
          <w:szCs w:val="20"/>
          <w:color w:val="auto"/>
        </w:rPr>
      </w:pPr>
    </w:p>
    <w:p>
      <w:pPr>
        <w:jc w:val="both"/>
        <w:ind w:left="140" w:right="679" w:firstLine="360"/>
        <w:spacing w:after="0" w:line="248" w:lineRule="auto"/>
        <w:rPr>
          <w:sz w:val="20"/>
          <w:szCs w:val="20"/>
          <w:color w:val="auto"/>
        </w:rPr>
      </w:pPr>
      <w:r>
        <w:rPr>
          <w:rFonts w:ascii="Arial" w:cs="Arial" w:eastAsia="Arial" w:hAnsi="Arial"/>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74" w:lineRule="exact"/>
        <w:rPr>
          <w:sz w:val="20"/>
          <w:szCs w:val="20"/>
          <w:color w:val="auto"/>
        </w:rPr>
      </w:pPr>
    </w:p>
    <w:p>
      <w:pPr>
        <w:ind w:left="680" w:right="679" w:hanging="178"/>
        <w:spacing w:after="0" w:line="277" w:lineRule="auto"/>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62" w:lineRule="exact"/>
        <w:rPr>
          <w:rFonts w:ascii="Arial" w:cs="Arial" w:eastAsia="Arial" w:hAnsi="Arial"/>
          <w:sz w:val="18"/>
          <w:szCs w:val="18"/>
          <w:color w:val="auto"/>
        </w:rPr>
      </w:pPr>
    </w:p>
    <w:p>
      <w:pPr>
        <w:jc w:val="both"/>
        <w:ind w:left="680" w:right="679" w:hanging="178"/>
        <w:spacing w:after="0" w:line="263" w:lineRule="auto"/>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03" w:lineRule="exact"/>
        <w:rPr>
          <w:sz w:val="20"/>
          <w:szCs w:val="20"/>
          <w:color w:val="auto"/>
        </w:rPr>
      </w:pPr>
    </w:p>
    <w:p>
      <w:pPr>
        <w:jc w:val="both"/>
        <w:ind w:left="140" w:right="679" w:firstLine="360"/>
        <w:spacing w:after="0" w:line="248" w:lineRule="auto"/>
        <w:rPr>
          <w:sz w:val="20"/>
          <w:szCs w:val="20"/>
          <w:color w:val="auto"/>
        </w:rPr>
      </w:pPr>
      <w:r>
        <w:rPr>
          <w:rFonts w:ascii="Arial" w:cs="Arial" w:eastAsia="Arial" w:hAnsi="Arial"/>
          <w:sz w:val="18"/>
          <w:szCs w:val="18"/>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14" w:lineRule="exact"/>
        <w:rPr>
          <w:sz w:val="20"/>
          <w:szCs w:val="20"/>
          <w:color w:val="auto"/>
        </w:rPr>
      </w:pPr>
    </w:p>
    <w:p>
      <w:pPr>
        <w:jc w:val="both"/>
        <w:ind w:left="140" w:right="679" w:firstLine="360"/>
        <w:spacing w:after="0" w:line="252" w:lineRule="auto"/>
        <w:rPr>
          <w:sz w:val="20"/>
          <w:szCs w:val="20"/>
          <w:color w:val="auto"/>
        </w:rPr>
      </w:pPr>
      <w:r>
        <w:rPr>
          <w:rFonts w:ascii="Arial" w:cs="Arial" w:eastAsia="Arial" w:hAnsi="Arial"/>
          <w:sz w:val="17"/>
          <w:szCs w:val="17"/>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44" w:lineRule="exact"/>
        <w:rPr>
          <w:sz w:val="20"/>
          <w:szCs w:val="20"/>
          <w:color w:val="auto"/>
        </w:rPr>
      </w:pPr>
    </w:p>
    <w:p>
      <w:pPr>
        <w:jc w:val="both"/>
        <w:ind w:left="140" w:right="679" w:firstLine="360"/>
        <w:spacing w:after="0" w:line="243" w:lineRule="auto"/>
        <w:rPr>
          <w:sz w:val="20"/>
          <w:szCs w:val="20"/>
          <w:color w:val="auto"/>
        </w:rPr>
      </w:pPr>
      <w:r>
        <w:rPr>
          <w:rFonts w:ascii="Arial" w:cs="Arial" w:eastAsia="Arial" w:hAnsi="Arial"/>
          <w:sz w:val="18"/>
          <w:szCs w:val="18"/>
          <w:color w:val="auto"/>
        </w:rPr>
        <w:t>Our bylaws provide that, if and to the extent that any provision of the MGCL, including the Control Share Act (if we amend our bylaws to be subject to such Act) and the Business Combination Act, or any provision of our charter or bylaws conflicts with any provision of the 1940 Act, the applicable provision of the 1940 Act will control.</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58" w:lineRule="exact"/>
        <w:rPr>
          <w:sz w:val="20"/>
          <w:szCs w:val="20"/>
          <w:color w:val="auto"/>
        </w:rPr>
      </w:pPr>
    </w:p>
    <w:p>
      <w:pPr>
        <w:jc w:val="both"/>
        <w:ind w:left="140" w:right="679" w:firstLine="360"/>
        <w:spacing w:after="0" w:line="267" w:lineRule="auto"/>
        <w:rPr>
          <w:sz w:val="20"/>
          <w:szCs w:val="20"/>
          <w:color w:val="auto"/>
        </w:rPr>
      </w:pPr>
      <w:r>
        <w:rPr>
          <w:rFonts w:ascii="Arial" w:cs="Arial" w:eastAsia="Arial" w:hAnsi="Arial"/>
          <w:sz w:val="16"/>
          <w:szCs w:val="16"/>
          <w:color w:val="auto"/>
        </w:rPr>
        <w:t>Our charter and bylaws provide that, to the fullest extent permitted by law, unless we consent in writing to the selection of an alternative forum,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MGCL, the charter or bylaws or the securities, antifraud, unfair trade practices or similar laws of any international, national, state, provincial, territorial, local or other governmental or regulatory authority, including, in each case, the applicable rules and regulations promulgated thereunder, or (iv) any action asserting a claim governed by the internal affairs doctrine shall be a federal or state court located in the state of Delaware, provided that to the extent the appropriate court located in the state of Delaware determines that it does not have jurisdiction over such action, then the sole and exclusive forum shall be any federal or state court located in the state of Maryland. Any person or entity purchasing or otherwise acquiring any interest in shares of capital stock of the Company shall be deemed, to the fullest extent permitted by law, to have notice of and consented to these exclusive forum provisions and to have irrevocably submitted to, and waived any objection to, the exclusive jurisdiction of such courts in connection with any such action or proceeding and consented to process being served in any such action or proceeding, without limitation, by United States mail addressed to the stockholder at the stockholder’s address as it appears on the records of the Company, with postage thereon prepaid.</w:t>
      </w:r>
    </w:p>
    <w:p>
      <w:pPr>
        <w:spacing w:after="0" w:line="354"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680656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9" w:name="page130"/>
    <w:bookmarkEnd w:id="129"/>
    <w:p>
      <w:pPr>
        <w:jc w:val="right"/>
        <w:ind w:right="67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140" w:right="679"/>
        <w:spacing w:after="0" w:line="266" w:lineRule="auto"/>
        <w:rPr>
          <w:sz w:val="20"/>
          <w:szCs w:val="20"/>
          <w:color w:val="auto"/>
        </w:rPr>
      </w:pPr>
      <w:r>
        <w:rPr>
          <w:rFonts w:ascii="Arial" w:cs="Arial" w:eastAsia="Arial" w:hAnsi="Arial"/>
          <w:sz w:val="18"/>
          <w:szCs w:val="18"/>
          <w:b w:val="1"/>
          <w:bCs w:val="1"/>
          <w:color w:val="auto"/>
        </w:rPr>
        <w:t>Certification of Chief Executive Officer of Runway Growth Credit Fund Inc. pursuant to Rule 13a-14(a) under the Exchange Act, as adopted pursuant to Section 302 of the Sarbanes-Oxley Act of 2002</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 R. David Spreng, as Chief Executive Officer, certify that:</w:t>
      </w:r>
    </w:p>
    <w:p>
      <w:pPr>
        <w:spacing w:after="0" w:line="144" w:lineRule="exact"/>
        <w:rPr>
          <w:sz w:val="20"/>
          <w:szCs w:val="20"/>
          <w:color w:val="auto"/>
        </w:rPr>
      </w:pPr>
    </w:p>
    <w:p>
      <w:pPr>
        <w:ind w:left="860" w:hanging="358"/>
        <w:spacing w:after="0"/>
        <w:tabs>
          <w:tab w:leader="none" w:pos="8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Runway Growth Credit Fund Inc.;</w:t>
      </w:r>
    </w:p>
    <w:p>
      <w:pPr>
        <w:spacing w:after="0" w:line="157" w:lineRule="exact"/>
        <w:rPr>
          <w:rFonts w:ascii="Arial" w:cs="Arial" w:eastAsia="Arial" w:hAnsi="Arial"/>
          <w:sz w:val="18"/>
          <w:szCs w:val="18"/>
          <w:color w:val="auto"/>
        </w:rPr>
      </w:pPr>
    </w:p>
    <w:p>
      <w:pPr>
        <w:jc w:val="both"/>
        <w:ind w:left="860" w:right="679" w:hanging="358"/>
        <w:spacing w:after="0" w:line="311" w:lineRule="auto"/>
        <w:tabs>
          <w:tab w:leader="none" w:pos="8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6"/>
          <w:szCs w:val="16"/>
          <w:color w:val="auto"/>
        </w:rPr>
      </w:pPr>
    </w:p>
    <w:p>
      <w:pPr>
        <w:jc w:val="both"/>
        <w:ind w:left="860" w:right="679" w:hanging="358"/>
        <w:spacing w:after="0" w:line="263" w:lineRule="auto"/>
        <w:tabs>
          <w:tab w:leader="none" w:pos="8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jc w:val="both"/>
        <w:ind w:left="860" w:right="679" w:hanging="358"/>
        <w:spacing w:after="0" w:line="259" w:lineRule="auto"/>
        <w:tabs>
          <w:tab w:leader="none" w:pos="8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8"/>
          <w:szCs w:val="18"/>
          <w:color w:val="auto"/>
        </w:rPr>
      </w:pPr>
    </w:p>
    <w:p>
      <w:pPr>
        <w:jc w:val="both"/>
        <w:ind w:left="1220" w:right="679" w:hanging="358"/>
        <w:spacing w:after="0" w:line="279" w:lineRule="auto"/>
        <w:tabs>
          <w:tab w:leader="none" w:pos="12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7"/>
          <w:szCs w:val="17"/>
          <w:color w:val="auto"/>
        </w:rPr>
      </w:pPr>
    </w:p>
    <w:p>
      <w:pPr>
        <w:jc w:val="both"/>
        <w:ind w:left="1220" w:right="679" w:hanging="358"/>
        <w:spacing w:after="0" w:line="279" w:lineRule="auto"/>
        <w:tabs>
          <w:tab w:leader="none" w:pos="12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0" w:lineRule="exact"/>
        <w:rPr>
          <w:rFonts w:ascii="Arial" w:cs="Arial" w:eastAsia="Arial" w:hAnsi="Arial"/>
          <w:sz w:val="17"/>
          <w:szCs w:val="17"/>
          <w:color w:val="auto"/>
        </w:rPr>
      </w:pPr>
    </w:p>
    <w:p>
      <w:pPr>
        <w:jc w:val="both"/>
        <w:ind w:left="1220" w:right="679" w:hanging="358"/>
        <w:spacing w:after="0" w:line="286" w:lineRule="auto"/>
        <w:tabs>
          <w:tab w:leader="none" w:pos="12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7"/>
          <w:szCs w:val="17"/>
          <w:color w:val="auto"/>
        </w:rPr>
      </w:pPr>
    </w:p>
    <w:p>
      <w:pPr>
        <w:jc w:val="both"/>
        <w:ind w:left="1220" w:right="679" w:hanging="358"/>
        <w:spacing w:after="0" w:line="279" w:lineRule="auto"/>
        <w:tabs>
          <w:tab w:leader="none" w:pos="12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7"/>
          <w:szCs w:val="17"/>
          <w:color w:val="auto"/>
        </w:rPr>
      </w:pPr>
    </w:p>
    <w:p>
      <w:pPr>
        <w:jc w:val="both"/>
        <w:ind w:left="860" w:right="679" w:hanging="358"/>
        <w:spacing w:after="0" w:line="286" w:lineRule="auto"/>
        <w:tabs>
          <w:tab w:leader="none" w:pos="8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Arial" w:cs="Arial" w:eastAsia="Arial" w:hAnsi="Arial"/>
          <w:sz w:val="17"/>
          <w:szCs w:val="17"/>
          <w:color w:val="auto"/>
        </w:rPr>
      </w:pPr>
    </w:p>
    <w:p>
      <w:pPr>
        <w:jc w:val="both"/>
        <w:ind w:left="1220" w:right="679" w:hanging="358"/>
        <w:spacing w:after="0" w:line="263" w:lineRule="auto"/>
        <w:tabs>
          <w:tab w:leader="none" w:pos="12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220" w:right="679" w:hanging="358"/>
        <w:spacing w:after="0" w:line="277" w:lineRule="auto"/>
        <w:tabs>
          <w:tab w:leader="none" w:pos="12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20574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 David Spreng</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March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614680</wp:posOffset>
            </wp:positionV>
            <wp:extent cx="6806565"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30" w:name="page131"/>
    <w:bookmarkEnd w:id="130"/>
    <w:p>
      <w:pPr>
        <w:jc w:val="right"/>
        <w:ind w:right="67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1600" w:right="1160"/>
        <w:spacing w:after="0" w:line="266" w:lineRule="auto"/>
        <w:rPr>
          <w:sz w:val="20"/>
          <w:szCs w:val="20"/>
          <w:color w:val="auto"/>
        </w:rPr>
      </w:pPr>
      <w:r>
        <w:rPr>
          <w:rFonts w:ascii="Arial" w:cs="Arial" w:eastAsia="Arial" w:hAnsi="Arial"/>
          <w:sz w:val="18"/>
          <w:szCs w:val="18"/>
          <w:b w:val="1"/>
          <w:bCs w:val="1"/>
          <w:color w:val="auto"/>
        </w:rPr>
        <w:t>Certification of Chief Financial Officer of Runway Growth Credit Fund Inc. pursuant to Rule 13a-14(a) under the Exchange Act, as adopted pursuant to Section 302 of the Sarbanes-Oxley Act of 2002</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 Thomas B. Raterman, as Financial Officer, certify that:</w:t>
      </w:r>
    </w:p>
    <w:p>
      <w:pPr>
        <w:spacing w:after="0" w:line="144" w:lineRule="exact"/>
        <w:rPr>
          <w:sz w:val="20"/>
          <w:szCs w:val="20"/>
          <w:color w:val="auto"/>
        </w:rPr>
      </w:pPr>
    </w:p>
    <w:p>
      <w:pPr>
        <w:ind w:left="860" w:hanging="358"/>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Runway Growth Credit Fund Inc.;</w:t>
      </w:r>
    </w:p>
    <w:p>
      <w:pPr>
        <w:spacing w:after="0" w:line="157" w:lineRule="exact"/>
        <w:rPr>
          <w:rFonts w:ascii="Arial" w:cs="Arial" w:eastAsia="Arial" w:hAnsi="Arial"/>
          <w:sz w:val="18"/>
          <w:szCs w:val="18"/>
          <w:color w:val="auto"/>
        </w:rPr>
      </w:pPr>
    </w:p>
    <w:p>
      <w:pPr>
        <w:jc w:val="both"/>
        <w:ind w:left="860" w:right="679" w:hanging="358"/>
        <w:spacing w:after="0" w:line="311" w:lineRule="auto"/>
        <w:tabs>
          <w:tab w:leader="none" w:pos="8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6"/>
          <w:szCs w:val="16"/>
          <w:color w:val="auto"/>
        </w:rPr>
      </w:pPr>
    </w:p>
    <w:p>
      <w:pPr>
        <w:jc w:val="both"/>
        <w:ind w:left="860" w:right="679" w:hanging="358"/>
        <w:spacing w:after="0" w:line="263" w:lineRule="auto"/>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jc w:val="both"/>
        <w:ind w:left="860" w:right="679" w:hanging="358"/>
        <w:spacing w:after="0" w:line="259" w:lineRule="auto"/>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8"/>
          <w:szCs w:val="18"/>
          <w:color w:val="auto"/>
        </w:rPr>
      </w:pPr>
    </w:p>
    <w:p>
      <w:pPr>
        <w:jc w:val="both"/>
        <w:ind w:left="1220" w:right="679" w:hanging="358"/>
        <w:spacing w:after="0" w:line="279" w:lineRule="auto"/>
        <w:tabs>
          <w:tab w:leader="none" w:pos="1220" w:val="left"/>
        </w:tabs>
        <w:numPr>
          <w:ilvl w:val="1"/>
          <w:numId w:val="7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7"/>
          <w:szCs w:val="17"/>
          <w:color w:val="auto"/>
        </w:rPr>
      </w:pPr>
    </w:p>
    <w:p>
      <w:pPr>
        <w:jc w:val="both"/>
        <w:ind w:left="1220" w:right="679" w:hanging="358"/>
        <w:spacing w:after="0" w:line="279" w:lineRule="auto"/>
        <w:tabs>
          <w:tab w:leader="none" w:pos="1220" w:val="left"/>
        </w:tabs>
        <w:numPr>
          <w:ilvl w:val="1"/>
          <w:numId w:val="7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0" w:lineRule="exact"/>
        <w:rPr>
          <w:rFonts w:ascii="Arial" w:cs="Arial" w:eastAsia="Arial" w:hAnsi="Arial"/>
          <w:sz w:val="17"/>
          <w:szCs w:val="17"/>
          <w:color w:val="auto"/>
        </w:rPr>
      </w:pPr>
    </w:p>
    <w:p>
      <w:pPr>
        <w:jc w:val="both"/>
        <w:ind w:left="1220" w:right="679" w:hanging="358"/>
        <w:spacing w:after="0" w:line="286" w:lineRule="auto"/>
        <w:tabs>
          <w:tab w:leader="none" w:pos="1220" w:val="left"/>
        </w:tabs>
        <w:numPr>
          <w:ilvl w:val="1"/>
          <w:numId w:val="7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7"/>
          <w:szCs w:val="17"/>
          <w:color w:val="auto"/>
        </w:rPr>
      </w:pPr>
    </w:p>
    <w:p>
      <w:pPr>
        <w:jc w:val="both"/>
        <w:ind w:left="1220" w:right="679" w:hanging="358"/>
        <w:spacing w:after="0" w:line="279" w:lineRule="auto"/>
        <w:tabs>
          <w:tab w:leader="none" w:pos="1220" w:val="left"/>
        </w:tabs>
        <w:numPr>
          <w:ilvl w:val="1"/>
          <w:numId w:val="7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7"/>
          <w:szCs w:val="17"/>
          <w:color w:val="auto"/>
        </w:rPr>
      </w:pPr>
    </w:p>
    <w:p>
      <w:pPr>
        <w:jc w:val="both"/>
        <w:ind w:left="860" w:right="679" w:hanging="358"/>
        <w:spacing w:after="0" w:line="286" w:lineRule="auto"/>
        <w:tabs>
          <w:tab w:leader="none" w:pos="8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Arial" w:cs="Arial" w:eastAsia="Arial" w:hAnsi="Arial"/>
          <w:sz w:val="17"/>
          <w:szCs w:val="17"/>
          <w:color w:val="auto"/>
        </w:rPr>
      </w:pPr>
    </w:p>
    <w:p>
      <w:pPr>
        <w:jc w:val="both"/>
        <w:ind w:left="1220" w:right="679" w:hanging="358"/>
        <w:spacing w:after="0" w:line="263" w:lineRule="auto"/>
        <w:tabs>
          <w:tab w:leader="none" w:pos="12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220" w:right="679" w:hanging="358"/>
        <w:spacing w:after="0" w:line="277" w:lineRule="auto"/>
        <w:tabs>
          <w:tab w:leader="none" w:pos="12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20574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Thomas B. Raterman</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March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614680</wp:posOffset>
            </wp:positionV>
            <wp:extent cx="680656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31" w:name="page132"/>
    <w:bookmarkEnd w:id="131"/>
    <w:p>
      <w:pPr>
        <w:jc w:val="right"/>
        <w:ind w:right="67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left="140" w:right="679" w:firstLine="360"/>
        <w:spacing w:after="0" w:line="259" w:lineRule="auto"/>
        <w:rPr>
          <w:sz w:val="20"/>
          <w:szCs w:val="20"/>
          <w:color w:val="auto"/>
        </w:rPr>
      </w:pPr>
      <w:r>
        <w:rPr>
          <w:rFonts w:ascii="Arial" w:cs="Arial" w:eastAsia="Arial" w:hAnsi="Arial"/>
          <w:sz w:val="18"/>
          <w:szCs w:val="18"/>
          <w:color w:val="auto"/>
        </w:rPr>
        <w:t>In connection with the annual report on Form 10-K for the year ended December 31, 2019 (the “Report”) of Runway Growth Credit Fund Inc. (the “Registrant”), as filed with the Securities and Exchange Commission on the date hereof, I, R. David Spreng, the Chief Executive Officer of the Registrant, hereby certify, to the best of my knowledge, that:</w:t>
      </w:r>
    </w:p>
    <w:p>
      <w:pPr>
        <w:spacing w:after="0" w:line="106" w:lineRule="exact"/>
        <w:rPr>
          <w:sz w:val="20"/>
          <w:szCs w:val="20"/>
          <w:color w:val="auto"/>
        </w:rPr>
      </w:pPr>
    </w:p>
    <w:p>
      <w:pPr>
        <w:ind w:left="860" w:right="679" w:hanging="358"/>
        <w:spacing w:after="0" w:line="277" w:lineRule="auto"/>
        <w:tabs>
          <w:tab w:leader="none" w:pos="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2" w:lineRule="exact"/>
        <w:rPr>
          <w:rFonts w:ascii="Arial" w:cs="Arial" w:eastAsia="Arial" w:hAnsi="Arial"/>
          <w:sz w:val="18"/>
          <w:szCs w:val="18"/>
          <w:color w:val="auto"/>
        </w:rPr>
      </w:pPr>
    </w:p>
    <w:p>
      <w:pPr>
        <w:ind w:left="860" w:right="679" w:hanging="358"/>
        <w:spacing w:after="0" w:line="277" w:lineRule="auto"/>
        <w:tabs>
          <w:tab w:leader="none" w:pos="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48895</wp:posOffset>
            </wp:positionV>
            <wp:extent cx="27000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8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R. David Spreng</w:t>
      </w:r>
    </w:p>
    <w:p>
      <w:pPr>
        <w:spacing w:after="0" w:line="27" w:lineRule="exact"/>
        <w:rPr>
          <w:sz w:val="20"/>
          <w:szCs w:val="20"/>
          <w:color w:val="auto"/>
        </w:rPr>
      </w:pPr>
    </w:p>
    <w:p>
      <w:pPr>
        <w:ind w:left="4100"/>
        <w:spacing w:after="0"/>
        <w:tabs>
          <w:tab w:leader="none" w:pos="46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6"/>
          <w:szCs w:val="16"/>
          <w:color w:val="auto"/>
        </w:rPr>
        <w:t>March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5440680</wp:posOffset>
            </wp:positionV>
            <wp:extent cx="6806565"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32" w:name="page133"/>
    <w:bookmarkEnd w:id="132"/>
    <w:p>
      <w:pPr>
        <w:jc w:val="right"/>
        <w:ind w:right="67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left="140" w:right="679" w:firstLine="360"/>
        <w:spacing w:after="0" w:line="259" w:lineRule="auto"/>
        <w:rPr>
          <w:sz w:val="20"/>
          <w:szCs w:val="20"/>
          <w:color w:val="auto"/>
        </w:rPr>
      </w:pPr>
      <w:r>
        <w:rPr>
          <w:rFonts w:ascii="Arial" w:cs="Arial" w:eastAsia="Arial" w:hAnsi="Arial"/>
          <w:sz w:val="18"/>
          <w:szCs w:val="18"/>
          <w:color w:val="auto"/>
        </w:rPr>
        <w:t>In connection with the annual report on Form 10-K for the year ended December 31, 2019 (the “Report”) of Runway Growth Credit Fund Inc. (the “Registrant”), as filed with the Securities and Exchange Commission on the date hereof, I, Thomas B. Raterman, the Chief Financial Officer of the Registrant, hereby certify, to the best of my knowledge, that:</w:t>
      </w:r>
    </w:p>
    <w:p>
      <w:pPr>
        <w:spacing w:after="0" w:line="106" w:lineRule="exact"/>
        <w:rPr>
          <w:sz w:val="20"/>
          <w:szCs w:val="20"/>
          <w:color w:val="auto"/>
        </w:rPr>
      </w:pPr>
    </w:p>
    <w:p>
      <w:pPr>
        <w:ind w:left="860" w:right="679" w:hanging="358"/>
        <w:spacing w:after="0" w:line="277" w:lineRule="auto"/>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2" w:lineRule="exact"/>
        <w:rPr>
          <w:rFonts w:ascii="Arial" w:cs="Arial" w:eastAsia="Arial" w:hAnsi="Arial"/>
          <w:sz w:val="18"/>
          <w:szCs w:val="18"/>
          <w:color w:val="auto"/>
        </w:rPr>
      </w:pPr>
    </w:p>
    <w:p>
      <w:pPr>
        <w:ind w:left="860" w:right="679" w:hanging="358"/>
        <w:spacing w:after="0" w:line="277" w:lineRule="auto"/>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48895</wp:posOffset>
            </wp:positionV>
            <wp:extent cx="27000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8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Thomas B. Raterman</w:t>
      </w:r>
    </w:p>
    <w:p>
      <w:pPr>
        <w:spacing w:after="0" w:line="27"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March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5440680</wp:posOffset>
            </wp:positionV>
            <wp:extent cx="680656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9019"/>
      </w:cols>
      <w:pgMar w:left="1440" w:top="1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1)"/>
      <w:numFmt w:val="lowerRoman"/>
      <w:start w:val="1"/>
    </w:lvl>
  </w:abstractNum>
  <w:abstractNum w:abstractNumId="6">
    <w:nsid w:val="725A06FB"/>
    <w:multiLevelType w:val="hybridMultilevel"/>
    <w:lvl w:ilvl="0">
      <w:lvlJc w:val="left"/>
      <w:lvlText w:val="(%1)"/>
      <w:numFmt w:val="lowerRoman"/>
      <w:start w:val="3"/>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1"/>
      <w:numFmt w:val="bullet"/>
      <w:start w:val="1"/>
    </w:lvl>
  </w:abstractNum>
  <w:abstractNum w:abstractNumId="15">
    <w:nsid w:val="32FFF902"/>
    <w:multiLevelType w:val="hybridMultilevel"/>
    <w:lvl w:ilvl="0">
      <w:lvlJc w:val="left"/>
      <w:lvlText w:val="2"/>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lvl w:ilvl="1">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2"/>
    </w:lvl>
  </w:abstractNum>
  <w:abstractNum w:abstractNumId="26">
    <w:nsid w:val="374A3FE6"/>
    <w:multiLevelType w:val="hybridMultilevel"/>
    <w:lvl w:ilvl="0">
      <w:lvlJc w:val="left"/>
      <w:lvlText w:val="\emdash "/>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emdash "/>
      <w:numFmt w:val="bullet"/>
      <w:start w:val="1"/>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1)"/>
      <w:numFmt w:val="lowerLetter"/>
      <w:start w:val="3"/>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lowerRoman"/>
      <w:start w:val="2"/>
    </w:lvl>
  </w:abstractNum>
  <w:abstractNum w:abstractNumId="39">
    <w:nsid w:val="D34B6A8"/>
    <w:multiLevelType w:val="hybridMultilevel"/>
    <w:lvl w:ilvl="0">
      <w:lvlJc w:val="left"/>
      <w:lvlText w:val="1"/>
      <w:numFmt w:val="bullet"/>
      <w:start w:val="1"/>
    </w:lvl>
  </w:abstractNum>
  <w:abstractNum w:abstractNumId="40">
    <w:nsid w:val="10233C99"/>
    <w:multiLevelType w:val="hybridMultilevel"/>
    <w:lvl w:ilvl="0">
      <w:lvlJc w:val="left"/>
      <w:lvlText w:val="2"/>
      <w:numFmt w:val="bullet"/>
      <w:start w:val="1"/>
    </w:lvl>
  </w:abstractNum>
  <w:abstractNum w:abstractNumId="41">
    <w:nsid w:val="3F6AB60F"/>
    <w:multiLevelType w:val="hybridMultilevel"/>
    <w:lvl w:ilvl="0">
      <w:lvlJc w:val="left"/>
      <w:lvlText w:val="3"/>
      <w:numFmt w:val="bullet"/>
      <w:start w:val="1"/>
    </w:lvl>
  </w:abstractNum>
  <w:abstractNum w:abstractNumId="42">
    <w:nsid w:val="61574095"/>
    <w:multiLevelType w:val="hybridMultilevel"/>
    <w:lvl w:ilvl="0">
      <w:lvlJc w:val="left"/>
      <w:lvlText w:val="4"/>
      <w:numFmt w:val="bullet"/>
      <w:start w:val="1"/>
    </w:lvl>
  </w:abstractNum>
  <w:abstractNum w:abstractNumId="43">
    <w:nsid w:val="7E0C57B1"/>
    <w:multiLevelType w:val="hybridMultilevel"/>
    <w:lvl w:ilvl="0">
      <w:lvlJc w:val="left"/>
      <w:lvlText w:val="5"/>
      <w:numFmt w:val="bullet"/>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lowerLetter"/>
      <w:start w:val="25"/>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decimal"/>
      <w:start w:val="11"/>
    </w:lvl>
  </w:abstractNum>
  <w:abstractNum w:abstractNumId="55">
    <w:nsid w:val="100F8FCA"/>
    <w:multiLevelType w:val="hybridMultilevel"/>
    <w:lvl w:ilvl="0">
      <w:lvlJc w:val="left"/>
      <w:lvlText w:val="(%1)"/>
      <w:numFmt w:val="decimal"/>
      <w:start w:val="1"/>
    </w:lvl>
  </w:abstractNum>
  <w:abstractNum w:abstractNumId="56">
    <w:nsid w:val="6590700B"/>
    <w:multiLevelType w:val="hybridMultilevel"/>
    <w:lvl w:ilvl="0">
      <w:lvlJc w:val="left"/>
      <w:lvlText w:val="(%1)"/>
      <w:numFmt w:val="decimal"/>
      <w:start w:val="3"/>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1)"/>
      <w:numFmt w:val="decimal"/>
      <w:start w:val="2"/>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decimal"/>
      <w:start w:val="4"/>
    </w:lvl>
  </w:abstractNum>
  <w:abstractNum w:abstractNumId="69">
    <w:nsid w:val="51D9C564"/>
    <w:multiLevelType w:val="hybridMultilevel"/>
    <w:lvl w:ilvl="0">
      <w:lvlJc w:val="left"/>
      <w:lvlText w:val="(%1)"/>
      <w:numFmt w:val="lowerLetter"/>
      <w:start w:val="1"/>
    </w:lvl>
    <w:lvl w:ilvl="1">
      <w:lvlJc w:val="left"/>
      <w:lvlText w:val="(%2)"/>
      <w:numFmt w:val="decimal"/>
      <w:start w:val="1"/>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decimal"/>
      <w:start w:val="3"/>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1" Type="http://schemas.openxmlformats.org/officeDocument/2006/relationships/image" Target="media/image373.png"/><Relationship Id="rId383" Type="http://schemas.openxmlformats.org/officeDocument/2006/relationships/image" Target="media/image374.png"/><Relationship Id="rId385"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90" Type="http://schemas.openxmlformats.org/officeDocument/2006/relationships/image" Target="media/image378.png"/><Relationship Id="rId398" Type="http://schemas.openxmlformats.org/officeDocument/2006/relationships/image" Target="media/image379.png"/><Relationship Id="rId402" Type="http://schemas.openxmlformats.org/officeDocument/2006/relationships/image" Target="media/image380.png"/><Relationship Id="rId404"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png"/><Relationship Id="rId413" Type="http://schemas.openxmlformats.org/officeDocument/2006/relationships/image" Target="media/image389.png"/><Relationship Id="rId414" Type="http://schemas.openxmlformats.org/officeDocument/2006/relationships/image" Target="media/image390.png"/><Relationship Id="rId415" Type="http://schemas.openxmlformats.org/officeDocument/2006/relationships/image" Target="media/image391.pn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3" Type="http://schemas.openxmlformats.org/officeDocument/2006/relationships/image" Target="media/image409.png"/><Relationship Id="rId380" Type="http://schemas.openxmlformats.org/officeDocument/2006/relationships/hyperlink" Target="http://www.sec.gov/Archives/edgar/data/1653384/000114420416140270/v454968_ex3-1.htm" TargetMode="External"/><Relationship Id="rId382" Type="http://schemas.openxmlformats.org/officeDocument/2006/relationships/hyperlink" Target="http://www.sec.gov/Archives/edgar/data/1653384/000114420417032477/v468943_ex3-1.htm" TargetMode="External"/><Relationship Id="rId384" Type="http://schemas.openxmlformats.org/officeDocument/2006/relationships/hyperlink" Target="http://www.sec.gov/Archives/edgar/data/1653384/000114420417032477/v468943_ex3-2.htm" TargetMode="External"/><Relationship Id="rId386" Type="http://schemas.openxmlformats.org/officeDocument/2006/relationships/hyperlink" Target="http://www.sec.gov/Archives/edgar/data/1653384/000114420417042059/v472784_ex4-1.htm" TargetMode="External"/><Relationship Id="rId389" Type="http://schemas.openxmlformats.org/officeDocument/2006/relationships/hyperlink" Target="http://www.sec.gov/Archives/edgar/data/1653384/000114420417017282/v462699_ex9-1.htm" TargetMode="External"/><Relationship Id="rId391" Type="http://schemas.openxmlformats.org/officeDocument/2006/relationships/hyperlink" Target="http://www.sec.gov/Archives/edgar/data/1653384/000114420417047817/v474047_ex10-1.htm" TargetMode="External"/><Relationship Id="rId392" Type="http://schemas.openxmlformats.org/officeDocument/2006/relationships/hyperlink" Target="http://www.sec.gov/Archives/edgar/data/1653384/000114420416140270/v454968_ex10-2.htm" TargetMode="External"/><Relationship Id="rId393" Type="http://schemas.openxmlformats.org/officeDocument/2006/relationships/hyperlink" Target="http://www.sec.gov/Archives/edgar/data/1653384/000114420416140270/v454968_ex10-3.htm" TargetMode="External"/><Relationship Id="rId394" Type="http://schemas.openxmlformats.org/officeDocument/2006/relationships/hyperlink" Target="http://www.sec.gov/Archives/edgar/data/1653384/000114420416140270/v454968_ex10-4.htm" TargetMode="External"/><Relationship Id="rId395" Type="http://schemas.openxmlformats.org/officeDocument/2006/relationships/hyperlink" Target="http://www.sec.gov/Archives/edgar/data/1653384/000114420416081404/v428811_ex10-4.htm" TargetMode="External"/><Relationship Id="rId396" Type="http://schemas.openxmlformats.org/officeDocument/2006/relationships/hyperlink" Target="http://www.sec.gov/Archives/edgar/data/1653384/000114420416081404/v428811_ex10-5.htm" TargetMode="External"/><Relationship Id="rId397" Type="http://schemas.openxmlformats.org/officeDocument/2006/relationships/hyperlink" Target="http://www.sec.gov/Archives/edgar/data/1653384/000114420417057747/tv478830_ex10-2.htm" TargetMode="External"/><Relationship Id="rId399" Type="http://schemas.openxmlformats.org/officeDocument/2006/relationships/hyperlink" Target="http://www.sec.gov/Archives/edgar/data/1653384/000114420418066500/tv509942_ex10-1.htm" TargetMode="External"/><Relationship Id="rId400" Type="http://schemas.openxmlformats.org/officeDocument/2006/relationships/hyperlink" Target="http://www.sec.gov/Archives/edgar/data/1653384/000114420419016757/tv517233_ex10x9.htm" TargetMode="External"/><Relationship Id="rId401" Type="http://schemas.openxmlformats.org/officeDocument/2006/relationships/hyperlink" Target="http://www.sec.gov/Archives/edgar/data/1653384/000114420419016757/tv517233_ex10x10.htm" TargetMode="External"/><Relationship Id="rId403" Type="http://schemas.openxmlformats.org/officeDocument/2006/relationships/hyperlink" Target="http://www.sec.gov/Archives/edgar/data/1653384/000114420419030106/tv523088_ex10-1.htm" TargetMode="External"/><Relationship Id="rId405" Type="http://schemas.openxmlformats.org/officeDocument/2006/relationships/hyperlink" Target="http://www.sec.gov/Archives/edgar/data/1653384/000114420419030106/tv523088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2020-03-20T05:09:23Z</dcterms:created>
  <dcterms:modified xsi:type="dcterms:W3CDTF">2020-03-20T05:09:23Z</dcterms:modified>
</cp:coreProperties>
</file>